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0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spacing w:after="0"/>
        <w:tabs>
          <w:tab w:leader="none" w:pos="8480" w:val="left"/>
        </w:tabs>
        <w:rPr>
          <w:sz w:val="20"/>
          <w:szCs w:val="20"/>
          <w:color w:val="auto"/>
        </w:rPr>
      </w:pPr>
      <w:r>
        <w:rPr>
          <w:rFonts w:ascii="Times New Roman" w:cs="Times New Roman" w:eastAsia="Times New Roman" w:hAnsi="Times New Roman"/>
          <w:sz w:val="18"/>
          <w:szCs w:val="18"/>
          <w:color w:val="auto"/>
        </w:rPr>
        <w:t>For the Month of: June, 2026</w:t>
      </w:r>
      <w:r>
        <w:rPr>
          <w:sz w:val="20"/>
          <w:szCs w:val="20"/>
          <w:color w:val="auto"/>
        </w:rPr>
        <w:tab/>
      </w:r>
      <w:r>
        <w:rPr>
          <w:rFonts w:ascii="Times New Roman" w:cs="Times New Roman" w:eastAsia="Times New Roman" w:hAnsi="Times New Roman"/>
          <w:sz w:val="17"/>
          <w:szCs w:val="17"/>
          <w:color w:val="auto"/>
        </w:rPr>
        <w:t>Commission File Number: 001-32562</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STANTEC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Registrant)</w:t>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300-10220 103 Avenue NW</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Edmonton, Alberta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 T5J 0K4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spacing w:after="0" w:line="207" w:lineRule="exact"/>
        <w:tabs>
          <w:tab w:leader="none" w:pos="520" w:val="left"/>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56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STANTEC INC.</w:t>
            </w:r>
          </w:p>
        </w:tc>
        <w:tc>
          <w:tcPr>
            <w:tcW w:w="202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56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Vito Culmone</w:t>
            </w:r>
          </w:p>
        </w:tc>
        <w:tc>
          <w:tcPr>
            <w:tcW w:w="2020" w:type="dxa"/>
            <w:vAlign w:val="bottom"/>
          </w:tcPr>
          <w:p>
            <w:pPr>
              <w:spacing w:after="0"/>
              <w:rPr>
                <w:sz w:val="24"/>
                <w:szCs w:val="24"/>
                <w:color w:val="auto"/>
              </w:rPr>
            </w:pPr>
          </w:p>
        </w:tc>
      </w:tr>
      <w:tr>
        <w:trPr>
          <w:trHeight w:val="191"/>
        </w:trPr>
        <w:tc>
          <w:tcPr>
            <w:tcW w:w="35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Vito Culmone</w:t>
            </w:r>
          </w:p>
        </w:tc>
        <w:tc>
          <w:tcPr>
            <w:tcW w:w="2020" w:type="dxa"/>
            <w:vAlign w:val="bottom"/>
          </w:tcPr>
          <w:p>
            <w:pPr>
              <w:spacing w:after="0"/>
              <w:rPr>
                <w:sz w:val="16"/>
                <w:szCs w:val="16"/>
                <w:color w:val="auto"/>
              </w:rPr>
            </w:pPr>
          </w:p>
        </w:tc>
      </w:tr>
      <w:tr>
        <w:trPr>
          <w:trHeight w:val="234"/>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 and CFO</w:t>
            </w:r>
          </w:p>
        </w:tc>
        <w:tc>
          <w:tcPr>
            <w:tcW w:w="2020" w:type="dxa"/>
            <w:vAlign w:val="bottom"/>
          </w:tcPr>
          <w:p>
            <w:pPr>
              <w:spacing w:after="0"/>
              <w:rPr>
                <w:sz w:val="20"/>
                <w:szCs w:val="20"/>
                <w:color w:val="auto"/>
              </w:rPr>
            </w:pPr>
          </w:p>
        </w:tc>
      </w:tr>
      <w:tr>
        <w:trPr>
          <w:trHeight w:val="2943"/>
        </w:trPr>
        <w:tc>
          <w:tcPr>
            <w:tcW w:w="3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8"/>
        </w:trPr>
        <w:tc>
          <w:tcPr>
            <w:tcW w:w="3540" w:type="dxa"/>
            <w:vAlign w:val="bottom"/>
            <w:shd w:val="clear" w:color="auto" w:fill="000000"/>
          </w:tcPr>
          <w:p>
            <w:pPr>
              <w:spacing w:after="0"/>
              <w:rPr>
                <w:sz w:val="5"/>
                <w:szCs w:val="5"/>
                <w:color w:val="auto"/>
              </w:rPr>
            </w:pPr>
          </w:p>
        </w:tc>
        <w:tc>
          <w:tcPr>
            <w:tcW w:w="2560" w:type="dxa"/>
            <w:vAlign w:val="bottom"/>
            <w:shd w:val="clear" w:color="auto" w:fill="000000"/>
          </w:tcPr>
          <w:p>
            <w:pPr>
              <w:spacing w:after="0"/>
              <w:rPr>
                <w:sz w:val="5"/>
                <w:szCs w:val="5"/>
                <w:color w:val="auto"/>
              </w:rPr>
            </w:pPr>
          </w:p>
        </w:tc>
        <w:tc>
          <w:tcPr>
            <w:tcW w:w="31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19685</wp:posOffset>
            </wp:positionV>
            <wp:extent cx="6626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Material Change Report</w:t>
      </w:r>
    </w:p>
    <w:p>
      <w:pPr>
        <w:sectPr>
          <w:pgSz w:w="11900" w:h="16838" w:orient="portrait"/>
          <w:cols w:equalWidth="0" w:num="1">
            <w:col w:w="10139"/>
          </w:cols>
          <w:pgMar w:left="320" w:top="1008"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ind w:right="318"/>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225" w:lineRule="exact"/>
        <w:rPr>
          <w:sz w:val="20"/>
          <w:szCs w:val="20"/>
          <w:color w:val="auto"/>
        </w:rPr>
      </w:pPr>
    </w:p>
    <w:p>
      <w:pPr>
        <w:jc w:val="center"/>
        <w:ind w:right="318"/>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25" w:lineRule="exact"/>
        <w:rPr>
          <w:sz w:val="20"/>
          <w:szCs w:val="20"/>
          <w:color w:val="auto"/>
        </w:rPr>
      </w:pPr>
    </w:p>
    <w:p>
      <w:pPr>
        <w:ind w:left="662" w:hanging="648"/>
        <w:spacing w:after="0"/>
        <w:tabs>
          <w:tab w:leader="none" w:pos="66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and Address of Company:</w:t>
      </w:r>
    </w:p>
    <w:p>
      <w:pPr>
        <w:spacing w:after="0" w:line="225" w:lineRule="exact"/>
        <w:rPr>
          <w:rFonts w:ascii="Times New Roman" w:cs="Times New Roman" w:eastAsia="Times New Roman" w:hAnsi="Times New Roman"/>
          <w:sz w:val="18"/>
          <w:szCs w:val="18"/>
          <w:b w:val="1"/>
          <w:bCs w:val="1"/>
          <w:color w:val="auto"/>
        </w:rPr>
      </w:pPr>
    </w:p>
    <w:p>
      <w:pPr>
        <w:ind w:left="66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Stantec Inc. (“</w:t>
      </w:r>
      <w:r>
        <w:rPr>
          <w:rFonts w:ascii="Times New Roman" w:cs="Times New Roman" w:eastAsia="Times New Roman" w:hAnsi="Times New Roman"/>
          <w:sz w:val="18"/>
          <w:szCs w:val="18"/>
          <w:b w:val="1"/>
          <w:bCs w:val="1"/>
          <w:color w:val="auto"/>
        </w:rPr>
        <w:t>Stantec</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b w:val="1"/>
          <w:bCs w:val="1"/>
          <w:color w:val="auto"/>
        </w:rPr>
      </w:pPr>
    </w:p>
    <w:p>
      <w:pPr>
        <w:ind w:left="662" w:right="778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10220-103 Avenue NW, Suite 300 Edmonton, AB T5J 0K4</w:t>
      </w:r>
    </w:p>
    <w:p>
      <w:pPr>
        <w:spacing w:after="0" w:line="177" w:lineRule="exact"/>
        <w:rPr>
          <w:rFonts w:ascii="Times New Roman" w:cs="Times New Roman" w:eastAsia="Times New Roman" w:hAnsi="Times New Roman"/>
          <w:sz w:val="18"/>
          <w:szCs w:val="18"/>
          <w:b w:val="1"/>
          <w:bCs w:val="1"/>
          <w:color w:val="auto"/>
        </w:rPr>
      </w:pPr>
    </w:p>
    <w:p>
      <w:pPr>
        <w:ind w:left="662" w:right="8300" w:hanging="648"/>
        <w:spacing w:after="0" w:line="500" w:lineRule="auto"/>
        <w:tabs>
          <w:tab w:leader="none" w:pos="64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Date of Material Change: </w:t>
      </w:r>
      <w:r>
        <w:rPr>
          <w:rFonts w:ascii="Times New Roman" w:cs="Times New Roman" w:eastAsia="Times New Roman" w:hAnsi="Times New Roman"/>
          <w:sz w:val="18"/>
          <w:szCs w:val="18"/>
          <w:color w:val="auto"/>
        </w:rPr>
        <w:t>June 17, 2026.</w:t>
      </w:r>
    </w:p>
    <w:p>
      <w:pPr>
        <w:spacing w:after="0" w:line="1" w:lineRule="exact"/>
        <w:rPr>
          <w:rFonts w:ascii="Times New Roman" w:cs="Times New Roman" w:eastAsia="Times New Roman" w:hAnsi="Times New Roman"/>
          <w:sz w:val="18"/>
          <w:szCs w:val="18"/>
          <w:b w:val="1"/>
          <w:bCs w:val="1"/>
          <w:color w:val="auto"/>
        </w:rPr>
      </w:pPr>
    </w:p>
    <w:p>
      <w:pPr>
        <w:ind w:left="662" w:hanging="648"/>
        <w:spacing w:after="0"/>
        <w:tabs>
          <w:tab w:leader="none" w:pos="66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News Release:</w:t>
      </w:r>
    </w:p>
    <w:p>
      <w:pPr>
        <w:spacing w:after="0" w:line="229" w:lineRule="exact"/>
        <w:rPr>
          <w:rFonts w:ascii="Times New Roman" w:cs="Times New Roman" w:eastAsia="Times New Roman" w:hAnsi="Times New Roman"/>
          <w:sz w:val="18"/>
          <w:szCs w:val="18"/>
          <w:b w:val="1"/>
          <w:bCs w:val="1"/>
          <w:color w:val="auto"/>
        </w:rPr>
      </w:pPr>
    </w:p>
    <w:p>
      <w:pPr>
        <w:ind w:left="66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news release was issued by Stantec and disseminated through the facilities of a recognized newswire service on June 17, 2026.</w:t>
      </w:r>
    </w:p>
    <w:p>
      <w:pPr>
        <w:spacing w:after="0" w:line="221" w:lineRule="exact"/>
        <w:rPr>
          <w:rFonts w:ascii="Times New Roman" w:cs="Times New Roman" w:eastAsia="Times New Roman" w:hAnsi="Times New Roman"/>
          <w:sz w:val="18"/>
          <w:szCs w:val="18"/>
          <w:b w:val="1"/>
          <w:bCs w:val="1"/>
          <w:color w:val="auto"/>
        </w:rPr>
      </w:pPr>
    </w:p>
    <w:p>
      <w:pPr>
        <w:ind w:left="662" w:hanging="648"/>
        <w:spacing w:after="0"/>
        <w:tabs>
          <w:tab w:leader="none" w:pos="66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Material Change:</w:t>
      </w:r>
    </w:p>
    <w:p>
      <w:pPr>
        <w:spacing w:after="0" w:line="229" w:lineRule="exact"/>
        <w:rPr>
          <w:rFonts w:ascii="Times New Roman" w:cs="Times New Roman" w:eastAsia="Times New Roman" w:hAnsi="Times New Roman"/>
          <w:sz w:val="18"/>
          <w:szCs w:val="18"/>
          <w:b w:val="1"/>
          <w:bCs w:val="1"/>
          <w:color w:val="auto"/>
        </w:rPr>
      </w:pPr>
    </w:p>
    <w:p>
      <w:pPr>
        <w:ind w:left="66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Stantec announced the retirement of Gordon A. Johnston as president and chief executive officer effective October 1, 2026, and the appointment of Susan Reisbord as the next president and chief executive officer to take effect on October 1, 2026.</w:t>
      </w:r>
    </w:p>
    <w:p>
      <w:pPr>
        <w:spacing w:after="0" w:line="157" w:lineRule="exact"/>
        <w:rPr>
          <w:rFonts w:ascii="Times New Roman" w:cs="Times New Roman" w:eastAsia="Times New Roman" w:hAnsi="Times New Roman"/>
          <w:sz w:val="18"/>
          <w:szCs w:val="18"/>
          <w:b w:val="1"/>
          <w:bCs w:val="1"/>
          <w:color w:val="auto"/>
        </w:rPr>
      </w:pPr>
    </w:p>
    <w:p>
      <w:pPr>
        <w:ind w:left="642" w:hanging="628"/>
        <w:spacing w:after="0"/>
        <w:tabs>
          <w:tab w:leader="none" w:pos="64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Description of Material Change:</w:t>
      </w:r>
    </w:p>
    <w:p>
      <w:pPr>
        <w:spacing w:after="0" w:line="225" w:lineRule="exact"/>
        <w:rPr>
          <w:rFonts w:ascii="Times New Roman" w:cs="Times New Roman" w:eastAsia="Times New Roman" w:hAnsi="Times New Roman"/>
          <w:sz w:val="18"/>
          <w:szCs w:val="18"/>
          <w:b w:val="1"/>
          <w:bCs w:val="1"/>
          <w:color w:val="auto"/>
        </w:rPr>
      </w:pPr>
    </w:p>
    <w:p>
      <w:pPr>
        <w:ind w:left="66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  Full Description of Material Change:</w:t>
      </w:r>
    </w:p>
    <w:p>
      <w:pPr>
        <w:spacing w:after="0" w:line="229" w:lineRule="exact"/>
        <w:rPr>
          <w:sz w:val="20"/>
          <w:szCs w:val="20"/>
          <w:color w:val="auto"/>
        </w:rPr>
      </w:pPr>
    </w:p>
    <w:p>
      <w:pPr>
        <w:jc w:val="both"/>
        <w:ind w:left="1162"/>
        <w:spacing w:after="0" w:line="254" w:lineRule="auto"/>
        <w:rPr>
          <w:sz w:val="20"/>
          <w:szCs w:val="20"/>
          <w:color w:val="auto"/>
        </w:rPr>
      </w:pPr>
      <w:r>
        <w:rPr>
          <w:rFonts w:ascii="Times New Roman" w:cs="Times New Roman" w:eastAsia="Times New Roman" w:hAnsi="Times New Roman"/>
          <w:sz w:val="18"/>
          <w:szCs w:val="18"/>
          <w:color w:val="auto"/>
        </w:rPr>
        <w:t>After leading Stantec for eight-and-a-half years through a period of significant transformation and growth, Gord Johnston will retire as president and executive officer effective October 1, 2026. Mr. Johnston will remain on the Board of Directors of Stantec Inc., taking on the role of vice chair. Susan Reisbord, currently chief operating officer of the North America business, has been appointed as the next president and chief executive officer, such appointment to take effect on October 1, 2026. Ms. Reisbord will also join the Board of Directors of Stantec Inc. effective October 1, 2026. Susan Reisbord brings more than 30 years of experience in the industry. After joining Stantec in 2021 with the acquisition of Cardno, where she was the CEO of Cardno Inc., Ms Reisbord became the business operating unit leader for Stantec’s Environmental Services business line. In 2025, Ms. Reisbord was promoted to chief operating officer for North America, the company’s largest geographic operating unit.</w:t>
      </w:r>
    </w:p>
    <w:p>
      <w:pPr>
        <w:spacing w:after="0" w:line="192" w:lineRule="exact"/>
        <w:rPr>
          <w:sz w:val="20"/>
          <w:szCs w:val="20"/>
          <w:color w:val="auto"/>
        </w:rPr>
      </w:pPr>
    </w:p>
    <w:p>
      <w:pPr>
        <w:jc w:val="both"/>
        <w:ind w:left="1142"/>
        <w:spacing w:after="0" w:line="282" w:lineRule="auto"/>
        <w:rPr>
          <w:sz w:val="20"/>
          <w:szCs w:val="20"/>
          <w:color w:val="auto"/>
        </w:rPr>
      </w:pPr>
      <w:r>
        <w:rPr>
          <w:rFonts w:ascii="Times New Roman" w:cs="Times New Roman" w:eastAsia="Times New Roman" w:hAnsi="Times New Roman"/>
          <w:sz w:val="18"/>
          <w:szCs w:val="18"/>
          <w:color w:val="auto"/>
        </w:rPr>
        <w:t>This transition is the result of a long-standing, Board-led succession plan and reflects the consistency of the Company’s leadership platform and Stantec’s unchanged focus on client relationships, project delivery, and operations.</w:t>
      </w:r>
    </w:p>
    <w:p>
      <w:pPr>
        <w:spacing w:after="0" w:line="158" w:lineRule="exact"/>
        <w:rPr>
          <w:sz w:val="20"/>
          <w:szCs w:val="20"/>
          <w:color w:val="auto"/>
        </w:rPr>
      </w:pPr>
    </w:p>
    <w:p>
      <w:pPr>
        <w:ind w:left="642"/>
        <w:spacing w:after="0"/>
        <w:tabs>
          <w:tab w:leader="none" w:pos="1121"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Disclosure for Restructuring Transactions:</w:t>
      </w:r>
    </w:p>
    <w:p>
      <w:pPr>
        <w:spacing w:after="0" w:line="229" w:lineRule="exact"/>
        <w:rPr>
          <w:sz w:val="20"/>
          <w:szCs w:val="20"/>
          <w:color w:val="auto"/>
        </w:rPr>
      </w:pPr>
    </w:p>
    <w:p>
      <w:pPr>
        <w:ind w:left="1142"/>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42" w:hanging="642"/>
        <w:spacing w:after="0"/>
        <w:tabs>
          <w:tab w:leader="none" w:pos="642"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 on subsection 7.1(2) of National Instrument 51-102:</w:t>
      </w:r>
    </w:p>
    <w:p>
      <w:pPr>
        <w:spacing w:after="0" w:line="229" w:lineRule="exact"/>
        <w:rPr>
          <w:rFonts w:ascii="Times New Roman" w:cs="Times New Roman" w:eastAsia="Times New Roman" w:hAnsi="Times New Roman"/>
          <w:sz w:val="18"/>
          <w:szCs w:val="18"/>
          <w:b w:val="1"/>
          <w:bCs w:val="1"/>
          <w:color w:val="auto"/>
        </w:rPr>
      </w:pPr>
    </w:p>
    <w:p>
      <w:pPr>
        <w:ind w:left="66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Report is not being filed on a confidential basis in reliance on subsection 7.1(2) of National Instrument 51-102.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377190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22"/>
          </w:cols>
          <w:pgMar w:left="638" w:top="108" w:right="339" w:bottom="1440" w:gutter="0" w:footer="0" w:header="0"/>
        </w:sectPr>
      </w:pPr>
    </w:p>
    <w:bookmarkStart w:id="4" w:name="page5"/>
    <w:bookmarkEnd w:id="4"/>
    <w:p>
      <w:pPr>
        <w:ind w:left="642" w:hanging="628"/>
        <w:spacing w:after="0"/>
        <w:tabs>
          <w:tab w:leader="none" w:pos="642"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Omitted Information:</w:t>
      </w:r>
    </w:p>
    <w:p>
      <w:pPr>
        <w:spacing w:after="0" w:line="229" w:lineRule="exact"/>
        <w:rPr>
          <w:rFonts w:ascii="Times New Roman" w:cs="Times New Roman" w:eastAsia="Times New Roman" w:hAnsi="Times New Roman"/>
          <w:sz w:val="18"/>
          <w:szCs w:val="18"/>
          <w:b w:val="1"/>
          <w:bCs w:val="1"/>
          <w:color w:val="auto"/>
        </w:rPr>
      </w:pPr>
    </w:p>
    <w:p>
      <w:pPr>
        <w:ind w:left="66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information has been omitted on the basis that it is confidential information.</w:t>
      </w:r>
    </w:p>
    <w:p>
      <w:pPr>
        <w:spacing w:after="0" w:line="221" w:lineRule="exact"/>
        <w:rPr>
          <w:rFonts w:ascii="Times New Roman" w:cs="Times New Roman" w:eastAsia="Times New Roman" w:hAnsi="Times New Roman"/>
          <w:sz w:val="18"/>
          <w:szCs w:val="18"/>
          <w:b w:val="1"/>
          <w:bCs w:val="1"/>
          <w:color w:val="auto"/>
        </w:rPr>
      </w:pPr>
    </w:p>
    <w:p>
      <w:pPr>
        <w:ind w:left="642" w:hanging="642"/>
        <w:spacing w:after="0"/>
        <w:tabs>
          <w:tab w:leader="none" w:pos="64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Officer:</w:t>
      </w:r>
    </w:p>
    <w:p>
      <w:pPr>
        <w:spacing w:after="0" w:line="229" w:lineRule="exact"/>
        <w:rPr>
          <w:rFonts w:ascii="Times New Roman" w:cs="Times New Roman" w:eastAsia="Times New Roman" w:hAnsi="Times New Roman"/>
          <w:sz w:val="18"/>
          <w:szCs w:val="18"/>
          <w:b w:val="1"/>
          <w:bCs w:val="1"/>
          <w:color w:val="auto"/>
        </w:rPr>
      </w:pPr>
    </w:p>
    <w:p>
      <w:pPr>
        <w:ind w:left="66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officer of the Corporation is knowledgeable about this material change report and may be contacted by the securities regulatory authorities:</w:t>
      </w:r>
    </w:p>
    <w:p>
      <w:pPr>
        <w:spacing w:after="0" w:line="161" w:lineRule="exact"/>
        <w:rPr>
          <w:rFonts w:ascii="Times New Roman" w:cs="Times New Roman" w:eastAsia="Times New Roman" w:hAnsi="Times New Roman"/>
          <w:sz w:val="18"/>
          <w:szCs w:val="18"/>
          <w:b w:val="1"/>
          <w:bCs w:val="1"/>
          <w:color w:val="auto"/>
        </w:rPr>
      </w:pPr>
    </w:p>
    <w:p>
      <w:pPr>
        <w:ind w:left="66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Paul J. D. Alpern</w:t>
      </w:r>
    </w:p>
    <w:p>
      <w:pPr>
        <w:spacing w:after="0" w:line="27" w:lineRule="exact"/>
        <w:rPr>
          <w:rFonts w:ascii="Times New Roman" w:cs="Times New Roman" w:eastAsia="Times New Roman" w:hAnsi="Times New Roman"/>
          <w:sz w:val="18"/>
          <w:szCs w:val="18"/>
          <w:b w:val="1"/>
          <w:bCs w:val="1"/>
          <w:color w:val="auto"/>
        </w:rPr>
      </w:pPr>
    </w:p>
    <w:p>
      <w:pPr>
        <w:ind w:left="662" w:right="548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Vice President, General Counsel &amp; Corporate Secretary 10220-103 Avenue NW, Suite 300</w:t>
      </w:r>
    </w:p>
    <w:p>
      <w:pPr>
        <w:ind w:left="662" w:right="8500" w:firstLine="1"/>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Edmonton, AB T5J 0K4 (780) 917-7022</w:t>
      </w:r>
    </w:p>
    <w:p>
      <w:pPr>
        <w:spacing w:after="0" w:line="177" w:lineRule="exact"/>
        <w:rPr>
          <w:rFonts w:ascii="Times New Roman" w:cs="Times New Roman" w:eastAsia="Times New Roman" w:hAnsi="Times New Roman"/>
          <w:sz w:val="18"/>
          <w:szCs w:val="18"/>
          <w:b w:val="1"/>
          <w:bCs w:val="1"/>
          <w:color w:val="auto"/>
        </w:rPr>
      </w:pPr>
    </w:p>
    <w:p>
      <w:pPr>
        <w:ind w:left="662" w:right="9080" w:hanging="662"/>
        <w:spacing w:after="0" w:line="582" w:lineRule="auto"/>
        <w:tabs>
          <w:tab w:leader="none" w:pos="648"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Date of Report: </w:t>
      </w:r>
      <w:r>
        <w:rPr>
          <w:rFonts w:ascii="Times New Roman" w:cs="Times New Roman" w:eastAsia="Times New Roman" w:hAnsi="Times New Roman"/>
          <w:sz w:val="17"/>
          <w:szCs w:val="17"/>
          <w:color w:val="auto"/>
        </w:rPr>
        <w:t>June 18, 2026.</w:t>
      </w:r>
    </w:p>
    <w:sectPr>
      <w:pgSz w:w="11900" w:h="16838" w:orient="portrait"/>
      <w:cols w:equalWidth="0" w:num="1">
        <w:col w:w="10922"/>
      </w:cols>
      <w:pgMar w:left="638"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6"/>
    </w:lvl>
  </w:abstractNum>
  <w:abstractNum w:abstractNumId="2">
    <w:nsid w:val="2AE8944A"/>
    <w:multiLevelType w:val="hybridMultilevel"/>
    <w:lvl w:ilvl="0">
      <w:lvlJc w:val="left"/>
      <w:lvlText w:val="%1"/>
      <w:numFmt w:val="decimal"/>
      <w:start w:val="1"/>
    </w:lvl>
    <w:lvl w:ilvl="1">
      <w:lvlJc w:val="left"/>
      <w:lvlText w:val="%2."/>
      <w:numFmt w:val="decimal"/>
      <w:start w:val="7"/>
    </w:lvl>
  </w:abstractNum>
  <w:abstractNum w:abstractNumId="3">
    <w:nsid w:val="625558EC"/>
    <w:multiLevelType w:val="hybridMultilevel"/>
    <w:lvl w:ilvl="0">
      <w:lvlJc w:val="left"/>
      <w:lvlText w:val="%1."/>
      <w:numFmt w:val="decimal"/>
      <w:start w:val="8"/>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2026-06-18T13:02:18Z</dcterms:created>
  <dcterms:modified xsi:type="dcterms:W3CDTF">2026-06-18T13:02:18Z</dcterms:modified>
</cp:coreProperties>
</file>