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6k_051426.htm"/>
      <w:bookmarkStart w:id="1" w:name="ksf6k_051426"/>
      <w:bookmarkEnd w:id="0"/>
      <w:bookmarkEnd w:id="1"/>
      <w:r>
        <w:rPr/>
        <w:t> </w:t>
      </w:r>
    </w:p>
    <w:p>
      <w:pPr>
        <w:pStyle w:val="TextBody"/>
        <w:bidi w:val="0"/>
        <w:spacing w:before="0" w:after="0"/>
        <w:jc w:val="left"/>
        <w:rPr/>
      </w:pPr>
      <w:r>
        <w:rPr/>
        <w:t> </w:t>
      </w:r>
    </w:p>
    <w:p>
      <w:pPr>
        <w:pStyle w:val="TextBody"/>
        <w:bidi w:val="0"/>
        <w:spacing w:before="0" w:after="0"/>
        <w:ind w:left="0" w:right="0" w:hanging="0"/>
        <w:jc w:val="center"/>
        <w:rPr>
          <w:b/>
          <w:color w:val="000000"/>
          <w:sz w:val="20"/>
        </w:rPr>
      </w:pPr>
      <w:r>
        <w:rPr>
          <w:b/>
          <w:color w:val="000000"/>
          <w:sz w:val="20"/>
        </w:rPr>
        <w:t>SECURITIES AND EXCHANGE COMMISSION</w:t>
      </w:r>
    </w:p>
    <w:p>
      <w:pPr>
        <w:pStyle w:val="TextBody"/>
        <w:bidi w:val="0"/>
        <w:spacing w:before="0" w:after="0"/>
        <w:ind w:left="0" w:right="0" w:hanging="0"/>
        <w:jc w:val="center"/>
        <w:rPr>
          <w:b/>
          <w:color w:val="000000"/>
          <w:sz w:val="20"/>
        </w:rPr>
      </w:pPr>
      <w:r>
        <w:rPr>
          <w:b/>
          <w:color w:val="000000"/>
          <w:sz w:val="20"/>
        </w:rPr>
        <w:t>Washington, DC 20549</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both"/>
        <w:rPr/>
      </w:pPr>
      <w:r>
        <w:rPr/>
        <w:t> </w:t>
      </w:r>
    </w:p>
    <w:p>
      <w:pPr>
        <w:pStyle w:val="TextBody"/>
        <w:bidi w:val="0"/>
        <w:spacing w:before="0" w:after="0"/>
        <w:ind w:left="0" w:right="0" w:hanging="0"/>
        <w:jc w:val="center"/>
        <w:rPr>
          <w:b/>
          <w:sz w:val="36"/>
        </w:rPr>
      </w:pPr>
      <w:r>
        <w:rPr>
          <w:b/>
          <w:sz w:val="36"/>
        </w:rPr>
        <w:t>Form 6-K</w:t>
      </w:r>
    </w:p>
    <w:p>
      <w:pPr>
        <w:pStyle w:val="TextBody"/>
        <w:bidi w:val="0"/>
        <w:spacing w:before="0" w:after="0"/>
        <w:ind w:left="0" w:right="0" w:hanging="0"/>
        <w:jc w:val="center"/>
        <w:rPr>
          <w:b/>
          <w:color w:val="000000"/>
          <w:sz w:val="20"/>
        </w:rPr>
      </w:pPr>
      <w:r>
        <w:rPr>
          <w:b/>
          <w:color w:val="000000"/>
          <w:sz w:val="20"/>
        </w:rPr>
        <w:t>Report of Foreign Private Issuer</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center"/>
        <w:rPr>
          <w:b/>
          <w:sz w:val="20"/>
        </w:rPr>
      </w:pPr>
      <w:r>
        <w:rPr>
          <w:b/>
          <w:sz w:val="20"/>
        </w:rPr>
        <w:t>Pursuant to Rule 13a-16 or 15d-16 of</w:t>
      </w:r>
    </w:p>
    <w:p>
      <w:pPr>
        <w:pStyle w:val="TextBody"/>
        <w:bidi w:val="0"/>
        <w:spacing w:before="0" w:after="0"/>
        <w:ind w:left="0" w:right="0" w:hanging="0"/>
        <w:jc w:val="center"/>
        <w:rPr>
          <w:b/>
          <w:sz w:val="20"/>
        </w:rPr>
      </w:pPr>
      <w:r>
        <w:rPr>
          <w:b/>
          <w:sz w:val="20"/>
        </w:rPr>
        <w:t>the Securities Exchange Act of 1934</w:t>
      </w:r>
    </w:p>
    <w:p>
      <w:pPr>
        <w:pStyle w:val="TextBody"/>
        <w:bidi w:val="0"/>
        <w:spacing w:before="0" w:after="0"/>
        <w:ind w:left="0" w:right="0" w:hanging="0"/>
        <w:jc w:val="left"/>
        <w:rPr>
          <w:color w:val="000000"/>
        </w:rPr>
      </w:pPr>
      <w:r>
        <w:rPr>
          <w:color w:val="000000"/>
        </w:rPr>
        <w:t> </w:t>
      </w:r>
    </w:p>
    <w:tbl>
      <w:tblPr>
        <w:tblW w:w="6475" w:type="dxa"/>
        <w:jc w:val="left"/>
        <w:tblInd w:w="0" w:type="dxa"/>
        <w:tblLayout w:type="fixed"/>
        <w:tblCellMar>
          <w:top w:w="0" w:type="dxa"/>
          <w:left w:w="0" w:type="dxa"/>
          <w:bottom w:w="0" w:type="dxa"/>
          <w:right w:w="0" w:type="dxa"/>
        </w:tblCellMar>
      </w:tblPr>
      <w:tblGrid>
        <w:gridCol w:w="2795"/>
        <w:gridCol w:w="60"/>
        <w:gridCol w:w="3620"/>
      </w:tblGrid>
      <w:tr>
        <w:trPr/>
        <w:tc>
          <w:tcPr>
            <w:tcW w:w="2795" w:type="dxa"/>
            <w:tcBorders/>
            <w:vAlign w:val="center"/>
          </w:tcPr>
          <w:p>
            <w:pPr>
              <w:pStyle w:val="TableContents"/>
              <w:bidi w:val="0"/>
              <w:spacing w:before="0" w:after="283"/>
              <w:ind w:left="0" w:right="0" w:hanging="0"/>
              <w:jc w:val="left"/>
              <w:rPr/>
            </w:pPr>
            <w:r>
              <w:rPr/>
              <w:t>For the Month of: May, 2026</w:t>
            </w:r>
          </w:p>
        </w:tc>
        <w:tc>
          <w:tcPr>
            <w:tcW w:w="60" w:type="dxa"/>
            <w:tcBorders/>
            <w:vAlign w:val="center"/>
          </w:tcPr>
          <w:p>
            <w:pPr>
              <w:pStyle w:val="TableContents"/>
              <w:bidi w:val="0"/>
              <w:spacing w:before="0" w:after="283"/>
              <w:ind w:left="0" w:right="0" w:hanging="0"/>
              <w:jc w:val="left"/>
              <w:rPr/>
            </w:pPr>
            <w:r>
              <w:rPr/>
              <w:t> </w:t>
            </w:r>
          </w:p>
        </w:tc>
        <w:tc>
          <w:tcPr>
            <w:tcW w:w="3620" w:type="dxa"/>
            <w:tcBorders/>
            <w:vAlign w:val="center"/>
          </w:tcPr>
          <w:p>
            <w:pPr>
              <w:pStyle w:val="TableContents"/>
              <w:bidi w:val="0"/>
              <w:spacing w:before="0" w:after="283"/>
              <w:jc w:val="right"/>
              <w:rPr/>
            </w:pPr>
            <w:r>
              <w:rPr/>
              <w:t>Commission File Number: 001-32562</w:t>
            </w:r>
          </w:p>
        </w:tc>
      </w:tr>
    </w:tbl>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center"/>
        <w:rPr>
          <w:b/>
          <w:color w:val="000000"/>
          <w:sz w:val="48"/>
        </w:rPr>
      </w:pPr>
      <w:r>
        <w:rPr>
          <w:b/>
          <w:color w:val="000000"/>
          <w:sz w:val="48"/>
        </w:rPr>
        <w:t>STANTEC INC.</w:t>
      </w:r>
    </w:p>
    <w:p>
      <w:pPr>
        <w:pStyle w:val="TextBody"/>
        <w:bidi w:val="0"/>
        <w:spacing w:before="0" w:after="0"/>
        <w:ind w:left="0" w:right="0" w:hanging="0"/>
        <w:jc w:val="center"/>
        <w:rPr>
          <w:b/>
          <w:color w:val="000000"/>
          <w:sz w:val="20"/>
        </w:rPr>
      </w:pPr>
      <w:r>
        <w:rPr>
          <w:b/>
          <w:color w:val="000000"/>
          <w:sz w:val="20"/>
        </w:rPr>
        <w:t>(Name of Registrant)</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both"/>
        <w:rPr/>
      </w:pPr>
      <w:r>
        <w:rPr/>
        <w:t> </w:t>
      </w:r>
    </w:p>
    <w:p>
      <w:pPr>
        <w:pStyle w:val="TextBody"/>
        <w:bidi w:val="0"/>
        <w:spacing w:before="0" w:after="0"/>
        <w:ind w:left="0" w:right="0" w:hanging="0"/>
        <w:jc w:val="center"/>
        <w:rPr>
          <w:b/>
          <w:i w:val="false"/>
          <w:caps w:val="false"/>
          <w:smallCaps w:val="false"/>
          <w:sz w:val="20"/>
        </w:rPr>
      </w:pPr>
      <w:r>
        <w:rPr>
          <w:b/>
          <w:i w:val="false"/>
          <w:caps w:val="false"/>
          <w:smallCaps w:val="false"/>
          <w:sz w:val="20"/>
        </w:rPr>
        <w:t>300-10220 103 Avenue NW</w:t>
      </w:r>
    </w:p>
    <w:p>
      <w:pPr>
        <w:pStyle w:val="TextBody"/>
        <w:bidi w:val="0"/>
        <w:spacing w:before="0" w:after="0"/>
        <w:ind w:left="0" w:right="0" w:hanging="0"/>
        <w:jc w:val="center"/>
        <w:rPr>
          <w:b/>
          <w:i w:val="false"/>
          <w:caps w:val="false"/>
          <w:smallCaps w:val="false"/>
          <w:sz w:val="20"/>
        </w:rPr>
      </w:pPr>
      <w:r>
        <w:rPr>
          <w:b/>
          <w:i w:val="false"/>
          <w:caps w:val="false"/>
          <w:smallCaps w:val="false"/>
          <w:sz w:val="20"/>
        </w:rPr>
        <w:t>Edmonton, Alberta</w:t>
      </w:r>
    </w:p>
    <w:p>
      <w:pPr>
        <w:pStyle w:val="TextBody"/>
        <w:bidi w:val="0"/>
        <w:spacing w:before="0" w:after="0"/>
        <w:ind w:left="0" w:right="0" w:hanging="0"/>
        <w:jc w:val="center"/>
        <w:rPr>
          <w:b/>
          <w:i w:val="false"/>
          <w:caps w:val="false"/>
          <w:smallCaps w:val="false"/>
          <w:sz w:val="20"/>
        </w:rPr>
      </w:pPr>
      <w:r>
        <w:rPr>
          <w:b/>
          <w:i w:val="false"/>
          <w:caps w:val="false"/>
          <w:smallCaps w:val="false"/>
          <w:sz w:val="20"/>
        </w:rPr>
        <w:t>Canada T5J 0K4</w:t>
      </w:r>
    </w:p>
    <w:p>
      <w:pPr>
        <w:pStyle w:val="TextBody"/>
        <w:bidi w:val="0"/>
        <w:spacing w:before="0" w:after="0"/>
        <w:ind w:left="0" w:right="0" w:hanging="0"/>
        <w:jc w:val="center"/>
        <w:rPr>
          <w:b/>
          <w:sz w:val="20"/>
        </w:rPr>
      </w:pPr>
      <w:r>
        <w:rPr>
          <w:b/>
          <w:sz w:val="20"/>
        </w:rPr>
        <w:t>(Address of Principal Executive Offices)</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color w:val="000000"/>
          <w:sz w:val="20"/>
        </w:rPr>
      </w:pPr>
      <w:r>
        <w:rPr>
          <w:color w:val="000000"/>
          <w:sz w:val="20"/>
        </w:rPr>
        <w:t>Indicate by check mark whether the registrant files or will file annual reports under cover of Form 20-F or Form 40-F:</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center"/>
        <w:rPr>
          <w:sz w:val="20"/>
        </w:rPr>
      </w:pPr>
      <w:r>
        <w:rPr>
          <w:sz w:val="20"/>
        </w:rPr>
        <w:t>Form 20-F  ☐            Form 40-F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b/>
          <w:color w:val="000000"/>
          <w:sz w:val="20"/>
        </w:rPr>
      </w:pPr>
      <w:r>
        <w:rPr>
          <w:b/>
          <w:color w:val="000000"/>
          <w:sz w:val="20"/>
        </w:rPr>
        <w:t>SIGNATURES</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firstLine="54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olor w:val="000000"/>
        </w:rPr>
      </w:pPr>
      <w:r>
        <w:rPr>
          <w:color w:val="000000"/>
        </w:rPr>
        <w:t> </w:t>
      </w:r>
    </w:p>
    <w:tbl>
      <w:tblPr>
        <w:tblW w:w="6194" w:type="dxa"/>
        <w:jc w:val="left"/>
        <w:tblInd w:w="0" w:type="dxa"/>
        <w:tblLayout w:type="fixed"/>
        <w:tblCellMar>
          <w:top w:w="0" w:type="dxa"/>
          <w:left w:w="0" w:type="dxa"/>
          <w:bottom w:w="0" w:type="dxa"/>
          <w:right w:w="0" w:type="dxa"/>
        </w:tblCellMar>
      </w:tblPr>
      <w:tblGrid>
        <w:gridCol w:w="1925"/>
        <w:gridCol w:w="365"/>
        <w:gridCol w:w="3794"/>
        <w:gridCol w:w="110"/>
      </w:tblGrid>
      <w:tr>
        <w:trPr/>
        <w:tc>
          <w:tcPr>
            <w:tcW w:w="1925" w:type="dxa"/>
            <w:tcBorders/>
            <w:vAlign w:val="center"/>
          </w:tcPr>
          <w:p>
            <w:pPr>
              <w:pStyle w:val="TableContents"/>
              <w:bidi w:val="0"/>
              <w:spacing w:before="0" w:after="283"/>
              <w:ind w:left="0" w:right="0" w:hanging="0"/>
              <w:jc w:val="left"/>
              <w:rPr/>
            </w:pPr>
            <w:r>
              <w:rPr/>
              <w:t> </w:t>
            </w:r>
          </w:p>
        </w:tc>
        <w:tc>
          <w:tcPr>
            <w:tcW w:w="4159" w:type="dxa"/>
            <w:gridSpan w:val="2"/>
            <w:tcBorders/>
            <w:vAlign w:val="center"/>
          </w:tcPr>
          <w:p>
            <w:pPr>
              <w:pStyle w:val="TableContents"/>
              <w:bidi w:val="0"/>
              <w:spacing w:before="0" w:after="283"/>
              <w:jc w:val="left"/>
              <w:rPr/>
            </w:pPr>
            <w:r>
              <w:rPr/>
              <w:t>STANTEC INC.</w:t>
            </w:r>
          </w:p>
        </w:tc>
        <w:tc>
          <w:tcPr>
            <w:tcW w:w="11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79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0"/>
              <w:jc w:val="left"/>
              <w:rPr/>
            </w:pPr>
            <w:r>
              <w:rPr/>
              <w:t> </w:t>
            </w:r>
          </w:p>
        </w:tc>
      </w:tr>
      <w:tr>
        <w:trPr/>
        <w:tc>
          <w:tcPr>
            <w:tcW w:w="1925" w:type="dxa"/>
            <w:tcBorders/>
            <w:vAlign w:val="center"/>
          </w:tcPr>
          <w:p>
            <w:pPr>
              <w:pStyle w:val="TableContents"/>
              <w:bidi w:val="0"/>
              <w:spacing w:before="0" w:after="283"/>
              <w:ind w:left="0" w:right="0" w:hanging="0"/>
              <w:jc w:val="left"/>
              <w:rPr/>
            </w:pPr>
            <w:r>
              <w:rPr/>
              <w:t>Date: May 14, 2026</w:t>
            </w:r>
          </w:p>
        </w:tc>
        <w:tc>
          <w:tcPr>
            <w:tcW w:w="365" w:type="dxa"/>
            <w:tcBorders/>
            <w:vAlign w:val="center"/>
          </w:tcPr>
          <w:p>
            <w:pPr>
              <w:pStyle w:val="TableContents"/>
              <w:bidi w:val="0"/>
              <w:spacing w:before="0" w:after="283"/>
              <w:ind w:left="0" w:right="0" w:hanging="0"/>
              <w:jc w:val="left"/>
              <w:rPr/>
            </w:pPr>
            <w:r>
              <w:rPr/>
              <w:t>By:</w:t>
            </w:r>
          </w:p>
        </w:tc>
        <w:tc>
          <w:tcPr>
            <w:tcW w:w="3794" w:type="dxa"/>
            <w:tcBorders>
              <w:bottom w:val="single" w:sz="8" w:space="0" w:color="000000"/>
            </w:tcBorders>
            <w:tcMar>
              <w:bottom w:w="28" w:type="dxa"/>
            </w:tcMar>
            <w:vAlign w:val="center"/>
          </w:tcPr>
          <w:p>
            <w:pPr>
              <w:pStyle w:val="TableContents"/>
              <w:bidi w:val="0"/>
              <w:spacing w:before="0" w:after="283"/>
              <w:jc w:val="left"/>
              <w:rPr/>
            </w:pPr>
            <w:r>
              <w:rPr/>
              <w:t>/s/ Vito Culmone</w:t>
            </w:r>
          </w:p>
        </w:tc>
        <w:tc>
          <w:tcPr>
            <w:tcW w:w="11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0"/>
              <w:jc w:val="left"/>
              <w:rPr/>
            </w:pPr>
            <w:r>
              <w:rPr/>
              <w:t> </w:t>
            </w:r>
          </w:p>
        </w:tc>
        <w:tc>
          <w:tcPr>
            <w:tcW w:w="3794" w:type="dxa"/>
            <w:tcBorders/>
            <w:vAlign w:val="center"/>
          </w:tcPr>
          <w:p>
            <w:pPr>
              <w:pStyle w:val="TableContents"/>
              <w:bidi w:val="0"/>
              <w:spacing w:before="0" w:after="283"/>
              <w:jc w:val="left"/>
              <w:rPr/>
            </w:pPr>
            <w:r>
              <w:rPr/>
              <w:t>Name: Vito Culmone</w:t>
            </w:r>
          </w:p>
        </w:tc>
        <w:tc>
          <w:tcPr>
            <w:tcW w:w="11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0"/>
              <w:jc w:val="left"/>
              <w:rPr/>
            </w:pPr>
            <w:r>
              <w:rPr/>
              <w:t> </w:t>
            </w:r>
          </w:p>
        </w:tc>
        <w:tc>
          <w:tcPr>
            <w:tcW w:w="3904" w:type="dxa"/>
            <w:gridSpan w:val="2"/>
            <w:tcBorders/>
            <w:vAlign w:val="center"/>
          </w:tcPr>
          <w:p>
            <w:pPr>
              <w:pStyle w:val="TableContents"/>
              <w:bidi w:val="0"/>
              <w:spacing w:before="0" w:after="283"/>
              <w:jc w:val="left"/>
              <w:rPr/>
            </w:pPr>
            <w:r>
              <w:rPr/>
              <w:t>Title: Executive Vice President and CFO</w:t>
            </w:r>
          </w:p>
        </w:tc>
      </w:tr>
    </w:tbl>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center"/>
        <w:rPr>
          <w:b/>
          <w:color w:val="000000"/>
          <w:sz w:val="20"/>
        </w:rPr>
      </w:pPr>
      <w:r>
        <w:rPr>
          <w:b/>
          <w:color w:val="000000"/>
          <w:sz w:val="20"/>
        </w:rPr>
        <w:t>EXHIBIT INDEX</w:t>
      </w:r>
    </w:p>
    <w:p>
      <w:pPr>
        <w:pStyle w:val="TextBody"/>
        <w:bidi w:val="0"/>
        <w:spacing w:before="0" w:after="0"/>
        <w:ind w:left="0" w:right="0" w:hanging="0"/>
        <w:jc w:val="left"/>
        <w:rPr>
          <w:color w:val="000000"/>
        </w:rPr>
      </w:pPr>
      <w:r>
        <w:rPr>
          <w:color w:val="000000"/>
        </w:rPr>
        <w:t> </w:t>
      </w:r>
    </w:p>
    <w:tbl>
      <w:tblPr>
        <w:tblW w:w="3265" w:type="dxa"/>
        <w:jc w:val="left"/>
        <w:tblInd w:w="0" w:type="dxa"/>
        <w:tblLayout w:type="fixed"/>
        <w:tblCellMar>
          <w:top w:w="0" w:type="dxa"/>
          <w:left w:w="0" w:type="dxa"/>
          <w:bottom w:w="0" w:type="dxa"/>
          <w:right w:w="0" w:type="dxa"/>
        </w:tblCellMar>
      </w:tblPr>
      <w:tblGrid>
        <w:gridCol w:w="770"/>
        <w:gridCol w:w="60"/>
        <w:gridCol w:w="2435"/>
      </w:tblGrid>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ind w:left="0" w:right="0" w:hanging="0"/>
              <w:jc w:val="left"/>
              <w:rPr/>
            </w:pPr>
            <w:r>
              <w:rPr/>
              <w:t> </w:t>
            </w:r>
          </w:p>
        </w:tc>
      </w:tr>
      <w:tr>
        <w:trPr/>
        <w:tc>
          <w:tcPr>
            <w:tcW w:w="770" w:type="dxa"/>
            <w:tcBorders>
              <w:bottom w:val="single" w:sz="8" w:space="0" w:color="000000"/>
            </w:tcBorders>
            <w:tcMar>
              <w:bottom w:w="28" w:type="dxa"/>
            </w:tcMar>
            <w:vAlign w:val="center"/>
          </w:tcPr>
          <w:p>
            <w:pPr>
              <w:pStyle w:val="TableContents"/>
              <w:bidi w:val="0"/>
              <w:spacing w:before="0" w:after="283"/>
              <w:ind w:left="0" w:right="0" w:hanging="0"/>
              <w:jc w:val="left"/>
              <w:rPr>
                <w:b/>
              </w:rPr>
            </w:pPr>
            <w:r>
              <w:rPr>
                <w:b/>
              </w:rPr>
              <w:t>Exhibit</w:t>
            </w:r>
          </w:p>
        </w:tc>
        <w:tc>
          <w:tcPr>
            <w:tcW w:w="60" w:type="dxa"/>
            <w:tcBorders/>
            <w:vAlign w:val="center"/>
          </w:tcPr>
          <w:p>
            <w:pPr>
              <w:pStyle w:val="TableContents"/>
              <w:bidi w:val="0"/>
              <w:spacing w:before="0" w:after="283"/>
              <w:ind w:left="0" w:right="0" w:hanging="0"/>
              <w:jc w:val="left"/>
              <w:rPr/>
            </w:pPr>
            <w:r>
              <w:rPr/>
              <w:t> </w:t>
            </w:r>
          </w:p>
        </w:tc>
        <w:tc>
          <w:tcPr>
            <w:tcW w:w="2435" w:type="dxa"/>
            <w:tcBorders>
              <w:bottom w:val="single" w:sz="8" w:space="0" w:color="000000"/>
            </w:tcBorders>
            <w:tcMar>
              <w:bottom w:w="28" w:type="dxa"/>
            </w:tcMar>
            <w:vAlign w:val="center"/>
          </w:tcPr>
          <w:p>
            <w:pPr>
              <w:pStyle w:val="TableContents"/>
              <w:bidi w:val="0"/>
              <w:spacing w:before="0" w:after="283"/>
              <w:jc w:val="left"/>
              <w:rPr>
                <w:b/>
              </w:rPr>
            </w:pPr>
            <w:r>
              <w:rPr>
                <w:b/>
              </w:rPr>
              <w:t>Description of Exhibit</w:t>
            </w:r>
          </w:p>
        </w:tc>
      </w:tr>
      <w:tr>
        <w:trPr/>
        <w:tc>
          <w:tcPr>
            <w:tcW w:w="770" w:type="dxa"/>
            <w:tcBorders/>
            <w:vAlign w:val="center"/>
          </w:tcPr>
          <w:p>
            <w:pPr>
              <w:pStyle w:val="TableContents"/>
              <w:bidi w:val="0"/>
              <w:spacing w:before="0" w:after="283"/>
              <w:jc w:val="left"/>
              <w:rPr/>
            </w:pPr>
            <w:r>
              <w:rPr/>
              <w:t> </w:t>
            </w:r>
          </w:p>
        </w:tc>
        <w:tc>
          <w:tcPr>
            <w:tcW w:w="2495" w:type="dxa"/>
            <w:gridSpan w:val="2"/>
            <w:tcBorders/>
            <w:vAlign w:val="center"/>
          </w:tcPr>
          <w:p>
            <w:pPr>
              <w:pStyle w:val="TableContents"/>
              <w:bidi w:val="0"/>
              <w:spacing w:before="0" w:after="283"/>
              <w:ind w:left="0" w:right="0" w:hanging="0"/>
              <w:jc w:val="left"/>
              <w:rPr/>
            </w:pPr>
            <w:r>
              <w:rPr/>
              <w:t> </w:t>
            </w:r>
          </w:p>
        </w:tc>
      </w:tr>
      <w:tr>
        <w:trPr/>
        <w:tc>
          <w:tcPr>
            <w:tcW w:w="770" w:type="dxa"/>
            <w:tcBorders/>
            <w:vAlign w:val="center"/>
          </w:tcPr>
          <w:p>
            <w:pPr>
              <w:pStyle w:val="TableContents"/>
              <w:bidi w:val="0"/>
              <w:spacing w:before="0" w:after="283"/>
              <w:ind w:left="0" w:right="0" w:hanging="0"/>
              <w:jc w:val="left"/>
              <w:rPr/>
            </w:pPr>
            <w:hyperlink w:anchor="exh_991.htm">
              <w:r>
                <w:rPr>
                  <w:rStyle w:val="InternetLink"/>
                </w:rPr>
                <w:t>99.1</w:t>
              </w:r>
            </w:hyperlink>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hyperlink w:anchor="exh_991.htm">
              <w:r>
                <w:rPr>
                  <w:rStyle w:val="InternetLink"/>
                </w:rPr>
                <w:t>Report on Voting Results</w:t>
              </w:r>
            </w:hyperlink>
          </w:p>
        </w:tc>
      </w:tr>
    </w:tbl>
    <w:p>
      <w:pPr>
        <w:pStyle w:val="TextBody"/>
        <w:bidi w:val="0"/>
        <w:spacing w:before="0" w:after="0"/>
        <w:ind w:left="0" w:right="0" w:hanging="0"/>
        <w:jc w:val="left"/>
        <w:rPr>
          <w:color w:val="000000"/>
        </w:rPr>
      </w:pPr>
      <w:r>
        <w:rPr>
          <w:color w:val="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jc w:val="right"/>
        <w:rPr>
          <w:b/>
        </w:rPr>
      </w:pPr>
      <w:bookmarkStart w:id="2" w:name="exh_991.htm"/>
      <w:bookmarkStart w:id="3" w:name="ksexh_991"/>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b/>
          <w:sz w:val="20"/>
        </w:rPr>
      </w:pPr>
      <w:r>
        <w:rPr>
          <w:b/>
          <w:sz w:val="20"/>
        </w:rPr>
        <w:t>REPORT ON VOTING RESULTS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ANNUAL GENERAL MEETING OF SHAREHOLDERS</w:t>
      </w:r>
    </w:p>
    <w:p>
      <w:pPr>
        <w:pStyle w:val="TextBody"/>
        <w:bidi w:val="0"/>
        <w:spacing w:before="0" w:after="0"/>
        <w:ind w:left="0" w:right="0" w:hanging="0"/>
        <w:jc w:val="center"/>
        <w:rPr>
          <w:b/>
          <w:sz w:val="20"/>
        </w:rPr>
      </w:pPr>
      <w:r>
        <w:rPr>
          <w:b/>
          <w:sz w:val="20"/>
        </w:rPr>
        <w:t>OF STANTEC INC.</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THURSDAY, MAY 14, 2026 – 10:30 A.M. MOUNTAIN TIME</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both"/>
        <w:rPr>
          <w:b/>
          <w:sz w:val="20"/>
        </w:rPr>
      </w:pPr>
      <w:r>
        <w:rPr>
          <w:b/>
          <w:sz w:val="20"/>
        </w:rPr>
        <w:t>VOTING RESULTS: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accordance with section 11.3 of National Instrument 51-102 Continuous Disclosure Obligations, the following sets out matters voted on at the annual general meeting of shareholders (the “Meeting”) of Stantec Inc. (“Stantec”) held on May 14, 2026, and the voting results for each matter. Full details of the matters presented for shareholder action can be viewed by accessing the Management Information Circular dated March 19, 2026, available on stantec.com or sedarplus.ca. A total of 83,408,932 shares (73.12% of outstanding common shares) were represented in person or by proxy.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Management of Stantec recommended that shareholders vote </w:t>
      </w:r>
      <w:r>
        <w:rPr>
          <w:b/>
          <w:sz w:val="20"/>
        </w:rPr>
        <w:t xml:space="preserve">FOR </w:t>
      </w:r>
      <w:r>
        <w:rPr>
          <w:sz w:val="20"/>
        </w:rPr>
        <w:t xml:space="preserve">each director nominee listed in matter 1, </w:t>
      </w:r>
      <w:r>
        <w:rPr>
          <w:i/>
          <w:sz w:val="20"/>
        </w:rPr>
        <w:t>Election of Directors</w:t>
      </w:r>
      <w:r>
        <w:rPr>
          <w:sz w:val="20"/>
        </w:rPr>
        <w:t xml:space="preserve">. Management also recommended that shareholders vote </w:t>
      </w:r>
      <w:r>
        <w:rPr>
          <w:b/>
          <w:sz w:val="20"/>
        </w:rPr>
        <w:t>FOR</w:t>
      </w:r>
      <w:r>
        <w:rPr>
          <w:sz w:val="20"/>
        </w:rPr>
        <w:t xml:space="preserve"> matter 2, </w:t>
      </w:r>
      <w:r>
        <w:rPr>
          <w:i/>
          <w:sz w:val="20"/>
        </w:rPr>
        <w:t>Appointment of Auditors</w:t>
      </w:r>
      <w:r>
        <w:rPr>
          <w:sz w:val="20"/>
        </w:rPr>
        <w:t xml:space="preserve">, and matter 3, </w:t>
      </w:r>
      <w:r>
        <w:rPr>
          <w:i/>
          <w:sz w:val="20"/>
        </w:rPr>
        <w:t>Non-binding Advisory Vote on Executive Compensation</w:t>
      </w:r>
      <w:r>
        <w:rPr>
          <w:sz w:val="20"/>
        </w:rPr>
        <w:t>, below:</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60"/>
        <w:gridCol w:w="844"/>
        <w:gridCol w:w="9201"/>
      </w:tblGrid>
      <w:tr>
        <w:trPr/>
        <w:tc>
          <w:tcPr>
            <w:tcW w:w="1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b/>
              </w:rPr>
            </w:pPr>
            <w:r>
              <w:rPr>
                <w:b/>
              </w:rPr>
              <w:t>1.</w:t>
            </w:r>
          </w:p>
        </w:tc>
        <w:tc>
          <w:tcPr>
            <w:tcW w:w="9201" w:type="dxa"/>
            <w:tcBorders/>
            <w:vAlign w:val="center"/>
          </w:tcPr>
          <w:p>
            <w:pPr>
              <w:pStyle w:val="TableContents"/>
              <w:bidi w:val="0"/>
              <w:spacing w:before="0" w:after="283"/>
              <w:jc w:val="left"/>
              <w:rPr>
                <w:b/>
              </w:rPr>
            </w:pPr>
            <w:r>
              <w:rPr>
                <w:b/>
              </w:rPr>
              <w:t xml:space="preserve">Election of Directors </w:t>
            </w:r>
          </w:p>
        </w:tc>
      </w:tr>
    </w:tbl>
    <w:p>
      <w:pPr>
        <w:pStyle w:val="TextBody"/>
        <w:bidi w:val="0"/>
        <w:spacing w:before="0" w:after="0"/>
        <w:jc w:val="left"/>
        <w:rPr/>
      </w:pPr>
      <w:r>
        <w:rPr/>
        <w:t> </w:t>
      </w:r>
    </w:p>
    <w:p>
      <w:pPr>
        <w:pStyle w:val="TextBody"/>
        <w:bidi w:val="0"/>
        <w:spacing w:before="0" w:after="0"/>
        <w:ind w:left="0" w:right="0" w:hanging="0"/>
        <w:jc w:val="both"/>
        <w:rPr>
          <w:sz w:val="20"/>
        </w:rPr>
      </w:pPr>
      <w:r>
        <w:rPr>
          <w:sz w:val="20"/>
        </w:rPr>
        <w:t>The Board of Directors of Stantec set the number of directors standing for election at the Meeting at nine. Each of the nine nominees listed in Stantec’s Management Information Circular dated March 19, 2026 was elected as a director of Stantec.</w:t>
      </w:r>
    </w:p>
    <w:p>
      <w:pPr>
        <w:pStyle w:val="TextBody"/>
        <w:bidi w:val="0"/>
        <w:spacing w:before="0" w:after="0"/>
        <w:ind w:left="0" w:right="0" w:hanging="0"/>
        <w:jc w:val="both"/>
        <w:rPr/>
      </w:pPr>
      <w:r>
        <w:rPr/>
        <w:t> </w:t>
      </w:r>
    </w:p>
    <w:tbl>
      <w:tblPr>
        <w:tblW w:w="5530" w:type="dxa"/>
        <w:jc w:val="left"/>
        <w:tblInd w:w="-10" w:type="dxa"/>
        <w:tblLayout w:type="fixed"/>
        <w:tblCellMar>
          <w:top w:w="28" w:type="dxa"/>
          <w:left w:w="108" w:type="dxa"/>
          <w:bottom w:w="28" w:type="dxa"/>
          <w:right w:w="108" w:type="dxa"/>
        </w:tblCellMar>
      </w:tblPr>
      <w:tblGrid>
        <w:gridCol w:w="1910"/>
        <w:gridCol w:w="950"/>
        <w:gridCol w:w="575"/>
        <w:gridCol w:w="1175"/>
        <w:gridCol w:w="920"/>
      </w:tblGrid>
      <w:tr>
        <w:trPr/>
        <w:tc>
          <w:tcPr>
            <w:tcW w:w="19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b/>
                <w:sz w:val="20"/>
              </w:rPr>
            </w:pPr>
            <w:r>
              <w:rPr>
                <w:b/>
                <w:sz w:val="20"/>
              </w:rPr>
              <w:t>Nominee</w:t>
            </w:r>
          </w:p>
        </w:tc>
        <w:tc>
          <w:tcPr>
            <w:tcW w:w="9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Votes For</w:t>
            </w:r>
          </w:p>
        </w:tc>
        <w:tc>
          <w:tcPr>
            <w:tcW w:w="5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For</w:t>
            </w:r>
          </w:p>
        </w:tc>
        <w:tc>
          <w:tcPr>
            <w:tcW w:w="11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Votes Against</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Against</w:t>
            </w:r>
          </w:p>
        </w:tc>
      </w:tr>
      <w:tr>
        <w:trPr/>
        <w:tc>
          <w:tcPr>
            <w:tcW w:w="1910" w:type="dxa"/>
            <w:tcBorders>
              <w:left w:val="single" w:sz="8" w:space="0" w:color="000000"/>
              <w:bottom w:val="single" w:sz="8" w:space="0" w:color="000000"/>
              <w:right w:val="single" w:sz="8" w:space="0" w:color="000000"/>
            </w:tcBorders>
            <w:tcMar>
              <w:top w:w="0" w:type="dxa"/>
              <w:left w:w="28" w:type="dxa"/>
              <w:bottom w:w="40" w:type="dxa"/>
              <w:right w:w="28" w:type="dxa"/>
            </w:tcMar>
            <w:vAlign w:val="center"/>
          </w:tcPr>
          <w:p>
            <w:pPr>
              <w:pStyle w:val="TableContents"/>
              <w:bidi w:val="0"/>
              <w:spacing w:before="0" w:after="283"/>
              <w:jc w:val="both"/>
              <w:rPr>
                <w:sz w:val="20"/>
              </w:rPr>
            </w:pPr>
            <w:r>
              <w:rPr>
                <w:sz w:val="20"/>
              </w:rPr>
              <w:t>Douglas K. Ammerman</w:t>
            </w:r>
          </w:p>
        </w:tc>
        <w:tc>
          <w:tcPr>
            <w:tcW w:w="95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71,548,823</w:t>
            </w:r>
          </w:p>
        </w:tc>
        <w:tc>
          <w:tcPr>
            <w:tcW w:w="5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89.93</w:t>
            </w:r>
          </w:p>
        </w:tc>
        <w:tc>
          <w:tcPr>
            <w:tcW w:w="11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8,010,915</w:t>
            </w:r>
          </w:p>
        </w:tc>
        <w:tc>
          <w:tcPr>
            <w:tcW w:w="9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10.07</w:t>
            </w:r>
          </w:p>
        </w:tc>
      </w:tr>
      <w:tr>
        <w:trPr/>
        <w:tc>
          <w:tcPr>
            <w:tcW w:w="1910" w:type="dxa"/>
            <w:tcBorders>
              <w:left w:val="single" w:sz="8" w:space="0" w:color="000000"/>
              <w:bottom w:val="single" w:sz="8" w:space="0" w:color="000000"/>
              <w:right w:val="single" w:sz="8" w:space="0" w:color="000000"/>
            </w:tcBorders>
            <w:tcMar>
              <w:top w:w="0" w:type="dxa"/>
              <w:left w:w="28" w:type="dxa"/>
              <w:bottom w:w="40" w:type="dxa"/>
              <w:right w:w="28" w:type="dxa"/>
            </w:tcMar>
            <w:vAlign w:val="center"/>
          </w:tcPr>
          <w:p>
            <w:pPr>
              <w:pStyle w:val="TableContents"/>
              <w:bidi w:val="0"/>
              <w:spacing w:before="0" w:after="283"/>
              <w:jc w:val="both"/>
              <w:rPr>
                <w:sz w:val="20"/>
              </w:rPr>
            </w:pPr>
            <w:r>
              <w:rPr>
                <w:sz w:val="20"/>
              </w:rPr>
              <w:t>Martin A. à Porta</w:t>
            </w:r>
          </w:p>
        </w:tc>
        <w:tc>
          <w:tcPr>
            <w:tcW w:w="95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78,956,577</w:t>
            </w:r>
          </w:p>
        </w:tc>
        <w:tc>
          <w:tcPr>
            <w:tcW w:w="5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99.24</w:t>
            </w:r>
          </w:p>
        </w:tc>
        <w:tc>
          <w:tcPr>
            <w:tcW w:w="11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pPr>
            <w:r>
              <w:rPr/>
              <w:t>   </w:t>
            </w:r>
            <w:r>
              <w:rPr>
                <w:sz w:val="20"/>
              </w:rPr>
              <w:t>603,161</w:t>
            </w:r>
          </w:p>
        </w:tc>
        <w:tc>
          <w:tcPr>
            <w:tcW w:w="9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0.76</w:t>
            </w:r>
          </w:p>
        </w:tc>
      </w:tr>
      <w:tr>
        <w:trPr/>
        <w:tc>
          <w:tcPr>
            <w:tcW w:w="1910" w:type="dxa"/>
            <w:tcBorders>
              <w:left w:val="single" w:sz="8" w:space="0" w:color="000000"/>
              <w:bottom w:val="single" w:sz="8" w:space="0" w:color="000000"/>
              <w:right w:val="single" w:sz="8" w:space="0" w:color="000000"/>
            </w:tcBorders>
            <w:tcMar>
              <w:top w:w="0" w:type="dxa"/>
              <w:left w:w="28" w:type="dxa"/>
              <w:bottom w:w="40" w:type="dxa"/>
              <w:right w:w="28" w:type="dxa"/>
            </w:tcMar>
            <w:vAlign w:val="center"/>
          </w:tcPr>
          <w:p>
            <w:pPr>
              <w:pStyle w:val="TableContents"/>
              <w:bidi w:val="0"/>
              <w:spacing w:before="0" w:after="283"/>
              <w:jc w:val="both"/>
              <w:rPr>
                <w:sz w:val="20"/>
              </w:rPr>
            </w:pPr>
            <w:r>
              <w:rPr>
                <w:sz w:val="20"/>
              </w:rPr>
              <w:t>Shelley A. M. Brown</w:t>
            </w:r>
          </w:p>
        </w:tc>
        <w:tc>
          <w:tcPr>
            <w:tcW w:w="95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79,418,349</w:t>
            </w:r>
          </w:p>
        </w:tc>
        <w:tc>
          <w:tcPr>
            <w:tcW w:w="5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99.82</w:t>
            </w:r>
          </w:p>
        </w:tc>
        <w:tc>
          <w:tcPr>
            <w:tcW w:w="11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pPr>
            <w:r>
              <w:rPr/>
              <w:t>   </w:t>
            </w:r>
            <w:r>
              <w:rPr>
                <w:sz w:val="20"/>
              </w:rPr>
              <w:t>141,389</w:t>
            </w:r>
          </w:p>
        </w:tc>
        <w:tc>
          <w:tcPr>
            <w:tcW w:w="9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0.18</w:t>
            </w:r>
          </w:p>
        </w:tc>
      </w:tr>
      <w:tr>
        <w:trPr/>
        <w:tc>
          <w:tcPr>
            <w:tcW w:w="1910" w:type="dxa"/>
            <w:tcBorders>
              <w:left w:val="single" w:sz="8" w:space="0" w:color="000000"/>
              <w:bottom w:val="single" w:sz="8" w:space="0" w:color="000000"/>
              <w:right w:val="single" w:sz="8" w:space="0" w:color="000000"/>
            </w:tcBorders>
            <w:tcMar>
              <w:top w:w="0" w:type="dxa"/>
              <w:left w:w="28" w:type="dxa"/>
              <w:bottom w:w="40" w:type="dxa"/>
              <w:right w:w="28" w:type="dxa"/>
            </w:tcMar>
            <w:vAlign w:val="center"/>
          </w:tcPr>
          <w:p>
            <w:pPr>
              <w:pStyle w:val="TableContents"/>
              <w:bidi w:val="0"/>
              <w:spacing w:before="0" w:after="283"/>
              <w:jc w:val="both"/>
              <w:rPr>
                <w:sz w:val="20"/>
              </w:rPr>
            </w:pPr>
            <w:r>
              <w:rPr>
                <w:sz w:val="20"/>
              </w:rPr>
              <w:t>Angeline G. Chen</w:t>
            </w:r>
          </w:p>
        </w:tc>
        <w:tc>
          <w:tcPr>
            <w:tcW w:w="95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79,093,790</w:t>
            </w:r>
          </w:p>
        </w:tc>
        <w:tc>
          <w:tcPr>
            <w:tcW w:w="5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99.41</w:t>
            </w:r>
          </w:p>
        </w:tc>
        <w:tc>
          <w:tcPr>
            <w:tcW w:w="11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pPr>
            <w:r>
              <w:rPr/>
              <w:t>    </w:t>
            </w:r>
            <w:r>
              <w:rPr>
                <w:sz w:val="20"/>
              </w:rPr>
              <w:t>465,948</w:t>
            </w:r>
          </w:p>
        </w:tc>
        <w:tc>
          <w:tcPr>
            <w:tcW w:w="9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0.59</w:t>
            </w:r>
          </w:p>
        </w:tc>
      </w:tr>
      <w:tr>
        <w:trPr/>
        <w:tc>
          <w:tcPr>
            <w:tcW w:w="1910" w:type="dxa"/>
            <w:tcBorders>
              <w:left w:val="single" w:sz="8" w:space="0" w:color="000000"/>
              <w:bottom w:val="single" w:sz="8" w:space="0" w:color="000000"/>
              <w:right w:val="single" w:sz="8" w:space="0" w:color="000000"/>
            </w:tcBorders>
            <w:tcMar>
              <w:top w:w="0" w:type="dxa"/>
              <w:left w:w="28" w:type="dxa"/>
              <w:bottom w:w="40" w:type="dxa"/>
              <w:right w:w="28" w:type="dxa"/>
            </w:tcMar>
            <w:vAlign w:val="center"/>
          </w:tcPr>
          <w:p>
            <w:pPr>
              <w:pStyle w:val="TableContents"/>
              <w:bidi w:val="0"/>
              <w:spacing w:before="0" w:after="283"/>
              <w:jc w:val="both"/>
              <w:rPr>
                <w:sz w:val="20"/>
              </w:rPr>
            </w:pPr>
            <w:r>
              <w:rPr>
                <w:sz w:val="20"/>
              </w:rPr>
              <w:t>Richard A. Eng</w:t>
            </w:r>
          </w:p>
        </w:tc>
        <w:tc>
          <w:tcPr>
            <w:tcW w:w="95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79,154,150</w:t>
            </w:r>
          </w:p>
        </w:tc>
        <w:tc>
          <w:tcPr>
            <w:tcW w:w="5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99.49</w:t>
            </w:r>
          </w:p>
        </w:tc>
        <w:tc>
          <w:tcPr>
            <w:tcW w:w="11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pPr>
            <w:r>
              <w:rPr/>
              <w:t>    </w:t>
            </w:r>
            <w:r>
              <w:rPr>
                <w:sz w:val="20"/>
              </w:rPr>
              <w:t>405,588</w:t>
            </w:r>
          </w:p>
        </w:tc>
        <w:tc>
          <w:tcPr>
            <w:tcW w:w="9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0.51</w:t>
            </w:r>
          </w:p>
        </w:tc>
      </w:tr>
      <w:tr>
        <w:trPr/>
        <w:tc>
          <w:tcPr>
            <w:tcW w:w="1910" w:type="dxa"/>
            <w:tcBorders>
              <w:left w:val="single" w:sz="8" w:space="0" w:color="000000"/>
              <w:bottom w:val="single" w:sz="8" w:space="0" w:color="000000"/>
              <w:right w:val="single" w:sz="8" w:space="0" w:color="000000"/>
            </w:tcBorders>
            <w:tcMar>
              <w:top w:w="0" w:type="dxa"/>
              <w:left w:w="28" w:type="dxa"/>
              <w:bottom w:w="40" w:type="dxa"/>
              <w:right w:w="28" w:type="dxa"/>
            </w:tcMar>
            <w:vAlign w:val="center"/>
          </w:tcPr>
          <w:p>
            <w:pPr>
              <w:pStyle w:val="TableContents"/>
              <w:bidi w:val="0"/>
              <w:spacing w:before="0" w:after="283"/>
              <w:jc w:val="both"/>
              <w:rPr>
                <w:sz w:val="20"/>
              </w:rPr>
            </w:pPr>
            <w:r>
              <w:rPr>
                <w:sz w:val="20"/>
              </w:rPr>
              <w:t>Gordon A. Johnston</w:t>
            </w:r>
          </w:p>
        </w:tc>
        <w:tc>
          <w:tcPr>
            <w:tcW w:w="95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79,434,155</w:t>
            </w:r>
          </w:p>
        </w:tc>
        <w:tc>
          <w:tcPr>
            <w:tcW w:w="5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99.84</w:t>
            </w:r>
          </w:p>
        </w:tc>
        <w:tc>
          <w:tcPr>
            <w:tcW w:w="11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pPr>
            <w:r>
              <w:rPr/>
              <w:t>   </w:t>
            </w:r>
            <w:r>
              <w:rPr>
                <w:sz w:val="20"/>
              </w:rPr>
              <w:t>125,583</w:t>
            </w:r>
          </w:p>
        </w:tc>
        <w:tc>
          <w:tcPr>
            <w:tcW w:w="9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0.16</w:t>
            </w:r>
          </w:p>
        </w:tc>
      </w:tr>
      <w:tr>
        <w:trPr/>
        <w:tc>
          <w:tcPr>
            <w:tcW w:w="1910" w:type="dxa"/>
            <w:tcBorders>
              <w:left w:val="single" w:sz="8" w:space="0" w:color="000000"/>
              <w:bottom w:val="single" w:sz="8" w:space="0" w:color="000000"/>
              <w:right w:val="single" w:sz="8" w:space="0" w:color="000000"/>
            </w:tcBorders>
            <w:tcMar>
              <w:top w:w="0" w:type="dxa"/>
              <w:left w:w="28" w:type="dxa"/>
              <w:bottom w:w="40" w:type="dxa"/>
              <w:right w:w="28" w:type="dxa"/>
            </w:tcMar>
            <w:vAlign w:val="center"/>
          </w:tcPr>
          <w:p>
            <w:pPr>
              <w:pStyle w:val="TableContents"/>
              <w:bidi w:val="0"/>
              <w:spacing w:before="0" w:after="283"/>
              <w:jc w:val="both"/>
              <w:rPr>
                <w:sz w:val="20"/>
              </w:rPr>
            </w:pPr>
            <w:r>
              <w:rPr>
                <w:sz w:val="20"/>
              </w:rPr>
              <w:t>Christopher F. Lopez</w:t>
            </w:r>
          </w:p>
        </w:tc>
        <w:tc>
          <w:tcPr>
            <w:tcW w:w="95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79,279,064</w:t>
            </w:r>
          </w:p>
        </w:tc>
        <w:tc>
          <w:tcPr>
            <w:tcW w:w="5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99.65</w:t>
            </w:r>
          </w:p>
        </w:tc>
        <w:tc>
          <w:tcPr>
            <w:tcW w:w="11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pPr>
            <w:r>
              <w:rPr/>
              <w:t>    </w:t>
            </w:r>
            <w:r>
              <w:rPr>
                <w:sz w:val="20"/>
              </w:rPr>
              <w:t>280,674</w:t>
            </w:r>
          </w:p>
        </w:tc>
        <w:tc>
          <w:tcPr>
            <w:tcW w:w="9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0.35</w:t>
            </w:r>
          </w:p>
        </w:tc>
      </w:tr>
      <w:tr>
        <w:trPr/>
        <w:tc>
          <w:tcPr>
            <w:tcW w:w="1910" w:type="dxa"/>
            <w:tcBorders>
              <w:left w:val="single" w:sz="8" w:space="0" w:color="000000"/>
              <w:bottom w:val="single" w:sz="8" w:space="0" w:color="000000"/>
              <w:right w:val="single" w:sz="8" w:space="0" w:color="000000"/>
            </w:tcBorders>
            <w:tcMar>
              <w:top w:w="0" w:type="dxa"/>
              <w:left w:w="28" w:type="dxa"/>
              <w:bottom w:w="40" w:type="dxa"/>
              <w:right w:w="28" w:type="dxa"/>
            </w:tcMar>
            <w:vAlign w:val="center"/>
          </w:tcPr>
          <w:p>
            <w:pPr>
              <w:pStyle w:val="TableContents"/>
              <w:bidi w:val="0"/>
              <w:spacing w:before="0" w:after="283"/>
              <w:jc w:val="both"/>
              <w:rPr>
                <w:sz w:val="20"/>
              </w:rPr>
            </w:pPr>
            <w:r>
              <w:rPr>
                <w:sz w:val="20"/>
              </w:rPr>
              <w:t>Marie-Lucie Morin</w:t>
            </w:r>
          </w:p>
        </w:tc>
        <w:tc>
          <w:tcPr>
            <w:tcW w:w="95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75,821,325</w:t>
            </w:r>
          </w:p>
        </w:tc>
        <w:tc>
          <w:tcPr>
            <w:tcW w:w="5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95.30</w:t>
            </w:r>
          </w:p>
        </w:tc>
        <w:tc>
          <w:tcPr>
            <w:tcW w:w="11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pPr>
            <w:r>
              <w:rPr/>
              <w:t>  </w:t>
            </w:r>
            <w:r>
              <w:rPr>
                <w:sz w:val="20"/>
              </w:rPr>
              <w:t>3,738,415</w:t>
            </w:r>
          </w:p>
        </w:tc>
        <w:tc>
          <w:tcPr>
            <w:tcW w:w="9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4.70</w:t>
            </w:r>
          </w:p>
        </w:tc>
      </w:tr>
      <w:tr>
        <w:trPr/>
        <w:tc>
          <w:tcPr>
            <w:tcW w:w="1910" w:type="dxa"/>
            <w:tcBorders>
              <w:left w:val="single" w:sz="8" w:space="0" w:color="000000"/>
              <w:bottom w:val="single" w:sz="8" w:space="0" w:color="000000"/>
              <w:right w:val="single" w:sz="8" w:space="0" w:color="000000"/>
            </w:tcBorders>
            <w:tcMar>
              <w:top w:w="0" w:type="dxa"/>
              <w:left w:w="28" w:type="dxa"/>
              <w:bottom w:w="40" w:type="dxa"/>
              <w:right w:w="28" w:type="dxa"/>
            </w:tcMar>
            <w:vAlign w:val="center"/>
          </w:tcPr>
          <w:p>
            <w:pPr>
              <w:pStyle w:val="TableContents"/>
              <w:bidi w:val="0"/>
              <w:spacing w:before="0" w:after="283"/>
              <w:jc w:val="both"/>
              <w:rPr>
                <w:sz w:val="20"/>
              </w:rPr>
            </w:pPr>
            <w:r>
              <w:rPr>
                <w:sz w:val="20"/>
              </w:rPr>
              <w:t>Celina J. Wang Doka</w:t>
            </w:r>
          </w:p>
        </w:tc>
        <w:tc>
          <w:tcPr>
            <w:tcW w:w="95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79,243,518</w:t>
            </w:r>
          </w:p>
        </w:tc>
        <w:tc>
          <w:tcPr>
            <w:tcW w:w="5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99.60</w:t>
            </w:r>
          </w:p>
        </w:tc>
        <w:tc>
          <w:tcPr>
            <w:tcW w:w="11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pPr>
            <w:r>
              <w:rPr/>
              <w:t>     </w:t>
            </w:r>
            <w:r>
              <w:rPr>
                <w:sz w:val="20"/>
              </w:rPr>
              <w:t>316,220</w:t>
            </w:r>
          </w:p>
        </w:tc>
        <w:tc>
          <w:tcPr>
            <w:tcW w:w="9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0.40</w:t>
            </w:r>
          </w:p>
        </w:tc>
      </w:tr>
    </w:tbl>
    <w:p>
      <w:pPr>
        <w:pStyle w:val="TextBody"/>
        <w:bidi w:val="0"/>
        <w:spacing w:before="0" w:after="0"/>
        <w:ind w:left="360" w:right="0" w:hanging="0"/>
        <w:jc w:val="left"/>
        <w:rPr/>
      </w:pPr>
      <w:r>
        <w:rPr/>
        <w:t> </w:t>
      </w:r>
    </w:p>
    <w:p>
      <w:pPr>
        <w:pStyle w:val="TextBody"/>
        <w:bidi w:val="0"/>
        <w:spacing w:before="0" w:after="0"/>
        <w:ind w:left="36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37"/>
        <w:gridCol w:w="727"/>
        <w:gridCol w:w="9341"/>
      </w:tblGrid>
      <w:tr>
        <w:trPr/>
        <w:tc>
          <w:tcPr>
            <w:tcW w:w="13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b/>
              </w:rPr>
            </w:pPr>
            <w:r>
              <w:rPr>
                <w:b/>
              </w:rPr>
              <w:t>2.</w:t>
            </w:r>
          </w:p>
        </w:tc>
        <w:tc>
          <w:tcPr>
            <w:tcW w:w="9341" w:type="dxa"/>
            <w:tcBorders/>
            <w:vAlign w:val="center"/>
          </w:tcPr>
          <w:p>
            <w:pPr>
              <w:pStyle w:val="TableContents"/>
              <w:bidi w:val="0"/>
              <w:spacing w:before="0" w:after="283"/>
              <w:jc w:val="left"/>
              <w:rPr>
                <w:b/>
              </w:rPr>
            </w:pPr>
            <w:r>
              <w:rPr>
                <w:b/>
              </w:rPr>
              <w:t xml:space="preserve">Appointment of Auditor </w:t>
            </w:r>
          </w:p>
        </w:tc>
      </w:tr>
    </w:tbl>
    <w:p>
      <w:pPr>
        <w:pStyle w:val="TextBody"/>
        <w:bidi w:val="0"/>
        <w:spacing w:before="0" w:after="0"/>
        <w:jc w:val="left"/>
        <w:rPr/>
      </w:pPr>
      <w:r>
        <w:rPr/>
        <w:t> </w:t>
      </w:r>
    </w:p>
    <w:p>
      <w:pPr>
        <w:pStyle w:val="TextBody"/>
        <w:bidi w:val="0"/>
        <w:spacing w:before="0" w:after="0"/>
        <w:ind w:left="0" w:right="0" w:hanging="0"/>
        <w:jc w:val="both"/>
        <w:rPr>
          <w:sz w:val="20"/>
        </w:rPr>
      </w:pPr>
      <w:r>
        <w:rPr>
          <w:sz w:val="20"/>
        </w:rPr>
        <w:t>PricewaterhouseCoopers LLP was reappointed as auditor of Stantec for 2026, and the directors were authorized to fix the remuneration of the auditor.</w:t>
      </w:r>
    </w:p>
    <w:p>
      <w:pPr>
        <w:pStyle w:val="TextBody"/>
        <w:bidi w:val="0"/>
        <w:spacing w:before="0" w:after="0"/>
        <w:ind w:left="0" w:right="0" w:hanging="0"/>
        <w:jc w:val="both"/>
        <w:rPr/>
      </w:pPr>
      <w:r>
        <w:rPr/>
        <w:t> </w:t>
      </w:r>
    </w:p>
    <w:tbl>
      <w:tblPr>
        <w:tblW w:w="3905" w:type="dxa"/>
        <w:jc w:val="left"/>
        <w:tblInd w:w="-10" w:type="dxa"/>
        <w:tblLayout w:type="fixed"/>
        <w:tblCellMar>
          <w:top w:w="28" w:type="dxa"/>
          <w:left w:w="108" w:type="dxa"/>
          <w:bottom w:w="28" w:type="dxa"/>
          <w:right w:w="108" w:type="dxa"/>
        </w:tblCellMar>
      </w:tblPr>
      <w:tblGrid>
        <w:gridCol w:w="965"/>
        <w:gridCol w:w="575"/>
        <w:gridCol w:w="1310"/>
        <w:gridCol w:w="1055"/>
      </w:tblGrid>
      <w:tr>
        <w:trPr/>
        <w:tc>
          <w:tcPr>
            <w:tcW w:w="9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Votes For</w:t>
            </w:r>
          </w:p>
        </w:tc>
        <w:tc>
          <w:tcPr>
            <w:tcW w:w="5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For</w:t>
            </w:r>
          </w:p>
        </w:tc>
        <w:tc>
          <w:tcPr>
            <w:tcW w:w="13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Votes Withheld</w:t>
            </w:r>
          </w:p>
        </w:tc>
        <w:tc>
          <w:tcPr>
            <w:tcW w:w="10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Withheld</w:t>
            </w:r>
          </w:p>
        </w:tc>
      </w:tr>
      <w:tr>
        <w:trPr/>
        <w:tc>
          <w:tcPr>
            <w:tcW w:w="965" w:type="dxa"/>
            <w:tcBorders>
              <w:left w:val="single" w:sz="8" w:space="0" w:color="000000"/>
              <w:bottom w:val="single" w:sz="8" w:space="0" w:color="000000"/>
              <w:right w:val="single" w:sz="8" w:space="0" w:color="000000"/>
            </w:tcBorders>
            <w:tcMar>
              <w:top w:w="0" w:type="dxa"/>
              <w:left w:w="28" w:type="dxa"/>
              <w:bottom w:w="40" w:type="dxa"/>
              <w:right w:w="28" w:type="dxa"/>
            </w:tcMar>
            <w:vAlign w:val="center"/>
          </w:tcPr>
          <w:p>
            <w:pPr>
              <w:pStyle w:val="TableContents"/>
              <w:bidi w:val="0"/>
              <w:spacing w:before="0" w:after="283"/>
              <w:jc w:val="center"/>
              <w:rPr>
                <w:sz w:val="20"/>
              </w:rPr>
            </w:pPr>
            <w:r>
              <w:rPr>
                <w:sz w:val="20"/>
              </w:rPr>
              <w:t>82,705,569</w:t>
            </w:r>
          </w:p>
        </w:tc>
        <w:tc>
          <w:tcPr>
            <w:tcW w:w="5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99.16</w:t>
            </w:r>
          </w:p>
        </w:tc>
        <w:tc>
          <w:tcPr>
            <w:tcW w:w="13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703,361</w:t>
            </w:r>
          </w:p>
        </w:tc>
        <w:tc>
          <w:tcPr>
            <w:tcW w:w="105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sz w:val="20"/>
              </w:rPr>
              <w:t>0.84</w:t>
            </w:r>
          </w:p>
        </w:tc>
      </w:tr>
    </w:tbl>
    <w:p>
      <w:pPr>
        <w:pStyle w:val="TextBody"/>
        <w:bidi w:val="0"/>
        <w:spacing w:before="0" w:after="0"/>
        <w:ind w:left="720" w:right="0" w:hanging="0"/>
        <w:jc w:val="both"/>
        <w:rPr/>
      </w:pPr>
      <w:r>
        <w:rPr/>
        <w:t> </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4"/>
        <w:gridCol w:w="341"/>
        <w:gridCol w:w="9800"/>
      </w:tblGrid>
      <w:tr>
        <w:trPr/>
        <w:tc>
          <w:tcPr>
            <w:tcW w:w="6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b/>
              </w:rPr>
            </w:pPr>
            <w:r>
              <w:rPr>
                <w:b/>
              </w:rPr>
              <w:t>3.</w:t>
            </w:r>
          </w:p>
        </w:tc>
        <w:tc>
          <w:tcPr>
            <w:tcW w:w="9800" w:type="dxa"/>
            <w:tcBorders/>
            <w:vAlign w:val="center"/>
          </w:tcPr>
          <w:p>
            <w:pPr>
              <w:pStyle w:val="TableContents"/>
              <w:bidi w:val="0"/>
              <w:spacing w:before="0" w:after="283"/>
              <w:jc w:val="left"/>
              <w:rPr>
                <w:b/>
              </w:rPr>
            </w:pPr>
            <w:r>
              <w:rPr>
                <w:b/>
              </w:rPr>
              <w:t>Non-binding Advisory Vote on Executive Compensation</w:t>
            </w:r>
          </w:p>
        </w:tc>
      </w:tr>
    </w:tbl>
    <w:p>
      <w:pPr>
        <w:pStyle w:val="TextBody"/>
        <w:bidi w:val="0"/>
        <w:spacing w:before="0" w:after="0"/>
        <w:jc w:val="left"/>
        <w:rPr/>
      </w:pPr>
      <w:r>
        <w:rPr/>
        <w:t> </w:t>
      </w:r>
    </w:p>
    <w:p>
      <w:pPr>
        <w:pStyle w:val="TextBody"/>
        <w:bidi w:val="0"/>
        <w:spacing w:before="0" w:after="0"/>
        <w:ind w:left="0" w:right="0" w:hanging="0"/>
        <w:jc w:val="both"/>
        <w:rPr>
          <w:sz w:val="20"/>
        </w:rPr>
      </w:pPr>
      <w:r>
        <w:rPr>
          <w:sz w:val="20"/>
        </w:rPr>
        <w:t>Shareholders accepted Stantec’s approach to executive compensation disclosed in the Management Information Circular dated March 19, 2026 and delivered in connection with the Meeting.</w:t>
      </w:r>
    </w:p>
    <w:p>
      <w:pPr>
        <w:pStyle w:val="TextBody"/>
        <w:bidi w:val="0"/>
        <w:spacing w:before="0" w:after="0"/>
        <w:ind w:left="0" w:right="0" w:hanging="0"/>
        <w:jc w:val="both"/>
        <w:rPr/>
      </w:pPr>
      <w:r>
        <w:rPr/>
        <w:t> </w:t>
      </w:r>
    </w:p>
    <w:tbl>
      <w:tblPr>
        <w:tblW w:w="3635" w:type="dxa"/>
        <w:jc w:val="left"/>
        <w:tblInd w:w="-10" w:type="dxa"/>
        <w:tblLayout w:type="fixed"/>
        <w:tblCellMar>
          <w:top w:w="28" w:type="dxa"/>
          <w:left w:w="28" w:type="dxa"/>
          <w:bottom w:w="28" w:type="dxa"/>
          <w:right w:w="28" w:type="dxa"/>
        </w:tblCellMar>
      </w:tblPr>
      <w:tblGrid>
        <w:gridCol w:w="965"/>
        <w:gridCol w:w="575"/>
        <w:gridCol w:w="1175"/>
        <w:gridCol w:w="920"/>
      </w:tblGrid>
      <w:tr>
        <w:trPr/>
        <w:tc>
          <w:tcPr>
            <w:tcW w:w="9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Votes For</w:t>
            </w:r>
          </w:p>
        </w:tc>
        <w:tc>
          <w:tcPr>
            <w:tcW w:w="5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For</w:t>
            </w:r>
          </w:p>
        </w:tc>
        <w:tc>
          <w:tcPr>
            <w:tcW w:w="11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Votes Against</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Against</w:t>
            </w:r>
          </w:p>
        </w:tc>
      </w:tr>
      <w:tr>
        <w:trPr/>
        <w:tc>
          <w:tcPr>
            <w:tcW w:w="965"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sz w:val="20"/>
              </w:rPr>
            </w:pPr>
            <w:r>
              <w:rPr>
                <w:sz w:val="20"/>
              </w:rPr>
              <w:t>74,553,552</w:t>
            </w:r>
          </w:p>
        </w:tc>
        <w:tc>
          <w:tcPr>
            <w:tcW w:w="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93.71</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5,006,184</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6.29</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496</Words>
  <Characters>2746</Characters>
  <CharactersWithSpaces>3264</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