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6-K</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REPORT OF FOREIGN PRIVATE ISSUER PURSUANT 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RULE 13a-16 OR 15d-16 UNDER THE SECURITIES EXCHANGE ACT OF 1934</w:t>
      </w:r>
    </w:p>
    <w:p>
      <w:pPr>
        <w:pStyle w:val="TextBody"/>
        <w:bidi w:val="0"/>
        <w:spacing w:before="0" w:after="0"/>
        <w:jc w:val="center"/>
        <w:rPr/>
      </w:pPr>
      <w:r>
        <w:rPr/>
      </w:r>
    </w:p>
    <w:tbl>
      <w:tblPr>
        <w:tblW w:w="3719" w:type="dxa"/>
        <w:jc w:val="center"/>
        <w:tblInd w:w="0" w:type="dxa"/>
        <w:tblLayout w:type="fixed"/>
        <w:tblCellMar>
          <w:top w:w="28" w:type="dxa"/>
          <w:left w:w="28" w:type="dxa"/>
          <w:bottom w:w="28" w:type="dxa"/>
          <w:right w:w="28" w:type="dxa"/>
        </w:tblCellMar>
      </w:tblPr>
      <w:tblGrid>
        <w:gridCol w:w="1191"/>
        <w:gridCol w:w="1043"/>
        <w:gridCol w:w="1485"/>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2"/>
              </w:rPr>
            </w:pPr>
            <w:r>
              <w:rPr>
                <w:rFonts w:ascii="Times New Roman;serif" w:hAnsi="Times New Roman;serif"/>
                <w:b w:val="false"/>
                <w:color w:val="000000"/>
                <w:sz w:val="22"/>
              </w:rPr>
              <w:t>For the Month of: May, 2026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 001-32562</w:t>
            </w:r>
          </w:p>
        </w:tc>
      </w:tr>
    </w:tbl>
    <w:p>
      <w:pPr>
        <w:pStyle w:val="TextBody"/>
        <w:bidi w:val="0"/>
        <w:spacing w:lineRule="auto" w:line="288" w:before="140" w:after="283"/>
        <w:jc w:val="center"/>
        <w:rPr>
          <w:rFonts w:ascii="Times New Roman;serif" w:hAnsi="Times New Roman;serif"/>
          <w:b w:val="false"/>
          <w:color w:val="000000"/>
          <w:sz w:val="24"/>
        </w:rPr>
      </w:pPr>
      <w:r>
        <w:rPr>
          <w:rFonts w:ascii="Times New Roman;serif" w:hAnsi="Times New Roman;serif"/>
          <w:b w:val="false"/>
          <w:color w:val="000000"/>
          <w:sz w:val="24"/>
        </w:rPr>
        <w:t>STANTEC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(Translation of registrant’s name into English)</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300 – 10220 103 Avenue NW</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Edmonton, Alberta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Canada T5J 0K4</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w:t>
      </w:r>
    </w:p>
    <w:p>
      <w:pPr>
        <w:pStyle w:val="TextBody"/>
        <w:bidi w:val="0"/>
        <w:spacing w:lineRule="auto" w:line="288" w:before="360" w:after="283"/>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tbl>
      <w:tblPr>
        <w:tblW w:w="3641" w:type="dxa"/>
        <w:jc w:val="center"/>
        <w:tblInd w:w="0" w:type="dxa"/>
        <w:tblLayout w:type="fixed"/>
        <w:tblCellMar>
          <w:top w:w="28" w:type="dxa"/>
          <w:left w:w="28" w:type="dxa"/>
          <w:bottom w:w="28" w:type="dxa"/>
          <w:right w:w="28" w:type="dxa"/>
        </w:tblCellMar>
      </w:tblPr>
      <w:tblGrid>
        <w:gridCol w:w="554"/>
        <w:gridCol w:w="487"/>
        <w:gridCol w:w="489"/>
        <w:gridCol w:w="109"/>
        <w:gridCol w:w="109"/>
        <w:gridCol w:w="109"/>
        <w:gridCol w:w="522"/>
        <w:gridCol w:w="522"/>
        <w:gridCol w:w="740"/>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20-F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Form 40-F X ___</w:t>
            </w:r>
          </w:p>
        </w:tc>
      </w:tr>
    </w:tbl>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568"/>
        <w:gridCol w:w="498"/>
        <w:gridCol w:w="500"/>
        <w:gridCol w:w="2521"/>
        <w:gridCol w:w="2521"/>
        <w:gridCol w:w="3597"/>
      </w:tblGrid>
      <w:tr>
        <w:trPr/>
        <w:tc>
          <w:tcPr>
            <w:tcW w:w="56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xmdaxq1x2026x6k.htm">
              <w:r>
                <w:rPr>
                  <w:rStyle w:val="InternetLink"/>
                  <w:rFonts w:ascii="Times New Roman;serif" w:hAnsi="Times New Roman;serif"/>
                  <w:b w:val="false"/>
                  <w:color w:val="0000FF"/>
                  <w:sz w:val="22"/>
                  <w:u w:val="single"/>
                </w:rPr>
                <w:t>99.1</w:t>
              </w:r>
            </w:hyperlink>
          </w:p>
        </w:tc>
        <w:tc>
          <w:tcPr>
            <w:tcW w:w="8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Stantec Inc. First Quarter 2026 Management’s Discussion and Analysis</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xfinancialxstatement.htm">
              <w:r>
                <w:rPr>
                  <w:rStyle w:val="InternetLink"/>
                  <w:rFonts w:ascii="Times New Roman;serif" w:hAnsi="Times New Roman;serif"/>
                  <w:b w:val="false"/>
                  <w:color w:val="0000FF"/>
                  <w:sz w:val="22"/>
                  <w:u w:val="single"/>
                </w:rPr>
                <w:t>99.2</w:t>
              </w:r>
            </w:hyperlink>
          </w:p>
        </w:tc>
        <w:tc>
          <w:tcPr>
            <w:tcW w:w="8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Stantec Inc. First Quarter 2026 Unaudited Interim Condensed Consolidated Financial Statements</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3xceoxcertxq1x2026x6k.htm">
              <w:r>
                <w:rPr>
                  <w:rStyle w:val="InternetLink"/>
                  <w:rFonts w:ascii="Times New Roman;serif" w:hAnsi="Times New Roman;serif"/>
                  <w:b w:val="false"/>
                  <w:color w:val="0000FF"/>
                  <w:sz w:val="22"/>
                  <w:u w:val="single"/>
                </w:rPr>
                <w:t>99.3</w:t>
              </w:r>
            </w:hyperlink>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Certification of Interim Filings – President and Chief Executive Officer</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4xcfoxcertxq1x2026x6k.htm">
              <w:r>
                <w:rPr>
                  <w:rStyle w:val="InternetLink"/>
                  <w:rFonts w:ascii="Times New Roman;serif" w:hAnsi="Times New Roman;serif"/>
                  <w:b w:val="false"/>
                  <w:color w:val="0000FF"/>
                  <w:sz w:val="22"/>
                  <w:u w:val="single"/>
                </w:rPr>
                <w:t>99.4</w:t>
              </w:r>
            </w:hyperlink>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Certification of Interim Filings – Executive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tbl>
      <w:tblPr>
        <w:tblW w:w="6159" w:type="dxa"/>
        <w:jc w:val="left"/>
        <w:tblInd w:w="0" w:type="dxa"/>
        <w:tblLayout w:type="fixed"/>
        <w:tblCellMar>
          <w:top w:w="28" w:type="dxa"/>
          <w:left w:w="28" w:type="dxa"/>
          <w:bottom w:w="28" w:type="dxa"/>
          <w:right w:w="28" w:type="dxa"/>
        </w:tblCellMar>
      </w:tblPr>
      <w:tblGrid>
        <w:gridCol w:w="722"/>
        <w:gridCol w:w="635"/>
        <w:gridCol w:w="638"/>
        <w:gridCol w:w="258"/>
        <w:gridCol w:w="258"/>
        <w:gridCol w:w="258"/>
        <w:gridCol w:w="984"/>
        <w:gridCol w:w="984"/>
        <w:gridCol w:w="142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STANTEC INC.</w:t>
              <w:br/>
              <w:t>(Registrant)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May 13, 2026</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Vito Culmone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Vito Culmone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CFO</w:t>
            </w:r>
          </w:p>
        </w:tc>
      </w:tr>
    </w:tbl>
    <w:p>
      <w:pPr>
        <w:pStyle w:val="TextBody"/>
        <w:bidi w:val="0"/>
        <w:spacing w:before="2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Exhibit 99.1 - Stantec Inc.’s Management's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masis MT Pro;serif" w:hAnsi="Amasis MT Pro;serif"/>
          <w:b/>
          <w:color w:val="000000"/>
          <w:sz w:val="44"/>
        </w:rPr>
      </w:pPr>
      <w:r>
        <w:rPr>
          <w:rFonts w:ascii="Amasis MT Pro;serif" w:hAnsi="Amasis MT Pro;serif"/>
          <w:b/>
          <w:color w:val="000000"/>
          <w:sz w:val="44"/>
        </w:rPr>
        <w:t>Management’s Discussion and Analysis</w: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br/>
        <w:t>May 13, 2026</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Management's Discussion and Analysis (MD&amp;A) of Stantec Inc.’s (Stantec or the Company) operations, financial position, and cash flows for the quarter ended March 31, 2026, dated May 13, 2026, should be read in conjunction with the Company’s unaudited interim condensed consolidated financial statements and related notes for the quarter ended March 31, 2026, and the MD&amp;A and audited consolidated financial statements and related notes included in our 2025 Annual Report filed on February 25,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unaudited interim consolidated financial statements and related notes for the quarter ended March 31, 2026, are prepared in accordance with International Accounting Standard 34 "Interim Financial Reporting" as issued by the International Accounting Standards Board. We continue to apply the same accounting policies as those used in 2025, except for the adoption of the amendments to IFRS 9 and IFRS 7. These amendments, disclosed in note 3 of our unaudited interim consolidated financial statements for the quarter ended March 31, 2026 (incorporated herein by reference) resulted in a change in accounting policy discussed in the Critical Accounting Developments, Estimates, and Measures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All amounts shown in this report are in Canadian dollars unless otherwise indicated.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Additional information regarding our Company, including our Annual Information Form, is available on SEDAR+ at </w:t>
      </w:r>
      <w:r>
        <w:rPr>
          <w:rFonts w:ascii="Arial;sans-serif" w:hAnsi="Arial;sans-serif"/>
          <w:b w:val="false"/>
          <w:color w:val="000000"/>
          <w:sz w:val="18"/>
          <w:u w:val="single"/>
        </w:rPr>
        <w:t>sedarplus.ca</w:t>
      </w:r>
      <w:r>
        <w:rPr>
          <w:color w:val="000000"/>
        </w:rPr>
        <w:t xml:space="preserve"> </w:t>
      </w:r>
      <w:r>
        <w:rPr>
          <w:rFonts w:ascii="Arial;sans-serif" w:hAnsi="Arial;sans-serif"/>
          <w:b w:val="false"/>
          <w:color w:val="000000"/>
          <w:sz w:val="18"/>
        </w:rPr>
        <w:t xml:space="preserve">and on EDGAR at </w:t>
      </w:r>
      <w:r>
        <w:rPr>
          <w:rFonts w:ascii="Arial;sans-serif" w:hAnsi="Arial;sans-serif"/>
          <w:b w:val="false"/>
          <w:color w:val="000000"/>
          <w:sz w:val="18"/>
          <w:u w:val="single"/>
        </w:rPr>
        <w:t>sec.gov</w:t>
      </w:r>
      <w:r>
        <w:rPr>
          <w:rFonts w:ascii="Arial;sans-serif" w:hAnsi="Arial;sans-serif"/>
          <w:b w:val="false"/>
          <w:color w:val="000000"/>
          <w:sz w:val="18"/>
        </w:rPr>
        <w:t xml:space="preserve">. Such additional information is not incorporated herein by reference, unless otherwise specified, and should not be deemed to be part of this MD&amp;A. Stantec trades on the TSX and the NYSE under the symbol STN. Visit us at </w:t>
      </w:r>
      <w:r>
        <w:rPr>
          <w:rFonts w:ascii="Arial;sans-serif" w:hAnsi="Arial;sans-serif"/>
          <w:b w:val="false"/>
          <w:color w:val="000000"/>
          <w:sz w:val="18"/>
          <w:u w:val="single"/>
        </w:rPr>
        <w:t>stantec.com</w:t>
      </w:r>
      <w:r>
        <w:rPr>
          <w:color w:val="000000"/>
        </w:rPr>
        <w:t xml:space="preserve"> </w:t>
      </w:r>
      <w:r>
        <w:rPr>
          <w:rFonts w:ascii="Arial;sans-serif" w:hAnsi="Arial;sans-serif"/>
          <w:b w:val="false"/>
          <w:color w:val="000000"/>
          <w:sz w:val="18"/>
        </w:rPr>
        <w:t>or find us on social media.</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Non-IFRS Accounting Standards (non-IFRS) and Other Financial Measures</w:t>
      </w:r>
    </w:p>
    <w:p>
      <w:pPr>
        <w:pStyle w:val="TextBody"/>
        <w:bidi w:val="0"/>
        <w:spacing w:lineRule="auto" w:line="288" w:before="0" w:after="0"/>
        <w:jc w:val="left"/>
        <w:rPr/>
      </w:pPr>
      <w:r>
        <w:rPr>
          <w:rFonts w:ascii="Arial;sans-serif" w:hAnsi="Arial;sans-serif"/>
          <w:b w:val="false"/>
          <w:color w:val="000000"/>
          <w:sz w:val="18"/>
        </w:rPr>
        <w:t xml:space="preserve">The Company reports its financial results in accordance with IFRS Accounting Standards. However, certain indicators used by the Company to analyze and evaluate its results are non-IFRS or other financial measures, including: adjusted earnings before interest, taxes, depreciation, and amortization (EBITDA), adjusted net income, adjusted earnings per share (EPS), adjusted return on invested capital (ROIC), net debt to adjusted EBITDA, days sales outstanding (DSO), free cash flow, free cash flow to net income, margin (percentage of net revenue), organic growth (retraction), acquisition growth, measures described as on a constant currency basis and the impact of foreign exchange or currency fluctuations, compound annual growth rate (CAGR), net debt, total capital managed, working capital, and current ratio, as well as measures and ratios calculated using these non-IFRS or other financial measures. These measures are categorized as non-IFRS financial measures and ratios, supplementary financial measures, or capital management measures and described in the Definitions of Non-IFRS and Other Financial Measures (Definitions) and Liquidity and Capital Resources sections and, where applicable, reconciliations from the non-IFRS measure to the most directly comparable measure calculated in accordance with IFRS Accounting Standards are provided (see the </w:t>
      </w:r>
      <w:r>
        <w:rPr>
          <w:rFonts w:ascii="Arial;sans-serif" w:hAnsi="Arial;sans-serif"/>
          <w:b w:val="false"/>
          <w:color w:val="000000"/>
          <w:sz w:val="18"/>
          <w:shd w:fill="FFFFFF" w:val="clear"/>
        </w:rPr>
        <w:t xml:space="preserve">Q1 2026 </w:t>
      </w:r>
      <w:r>
        <w:rPr>
          <w:rFonts w:ascii="Arial;sans-serif" w:hAnsi="Arial;sans-serif"/>
          <w:b w:val="false"/>
          <w:color w:val="000000"/>
          <w:sz w:val="18"/>
        </w:rPr>
        <w:t>Financial Highlights, Financial Performance, Liquidity and Capital Resources, and Definitions sections).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non-IFRS and other financial measures do not have a standardized meaning under IFRS Accounting Standards and, therefore, may not be comparable to similar measures presented by other issuers. Management believes that, in addition to conventional measures prepared in accordance with IFRS Accounting Standards, these non-IFRS and other financial measures provide useful information to investors to assist them in understanding components and trends in our financial results. These measures should not be considered in isolation or viewed as a substitute for the related financial information prepared in accordance with IFRS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21995"/>
                <wp:effectExtent l="0" t="0" r="0" b="0"/>
                <wp:wrapNone/>
                <wp:docPr id="3" name="Frame3"/>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 xml:space="preserve">Business Model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Stantec is a global leader in sustainable engineering, architecture, and environmental consulting. Our professionals deliver the expertise, technology, and innovation communities need to manage aging infrastructure, demographic and population changes, the energy transition, and more. Our strategy is guided by our vision: the success of our clients, communities, and people worldwide is our greatest ambition. The diverse perspectives of our partners and interested parties drive us to think beyond what’s previously been done on critical issues like climate change, digital transformation, and future-proofing our cities and infrastructure.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At Stantec, community encompasses everyone connected to the work we do—from our project teams and industry colleagues to our clients and the people our work impacts. The Stantec community unites approximately</w:t>
      </w:r>
      <w:r>
        <w:rPr>
          <w:color w:val="000000"/>
        </w:rPr>
        <w:t xml:space="preserve"> </w:t>
      </w:r>
      <w:r>
        <w:rPr>
          <w:rFonts w:ascii="Arial;sans-serif" w:hAnsi="Arial;sans-serif"/>
          <w:b w:val="false"/>
          <w:color w:val="000000"/>
          <w:sz w:val="18"/>
        </w:rPr>
        <w:t xml:space="preserve">34,000 </w:t>
      </w:r>
      <w:r>
        <w:rPr>
          <w:rFonts w:ascii="Arial;sans-serif" w:hAnsi="Arial;sans-serif"/>
          <w:b w:val="false"/>
          <w:color w:val="000000"/>
          <w:sz w:val="18"/>
          <w:shd w:fill="FFFFFF" w:val="clear"/>
        </w:rPr>
        <w:t>em</w:t>
      </w:r>
      <w:r>
        <w:rPr>
          <w:rFonts w:ascii="Arial;sans-serif" w:hAnsi="Arial;sans-serif"/>
          <w:b w:val="false"/>
          <w:color w:val="000000"/>
          <w:sz w:val="18"/>
        </w:rPr>
        <w:t>ployees working in over 450 locations across six continents. Please see page M-2 of Stantec’s 2025 Annual Report for further details on our business model.</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Strategic Acquisitions Completed in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Following is a list of acquisitions that contributed to revenue growth in our reportable segments and business operating units:</w:t>
      </w:r>
    </w:p>
    <w:tbl>
      <w:tblPr>
        <w:tblW w:w="10205" w:type="dxa"/>
        <w:jc w:val="left"/>
        <w:tblInd w:w="0" w:type="dxa"/>
        <w:tblLayout w:type="fixed"/>
        <w:tblCellMar>
          <w:top w:w="28" w:type="dxa"/>
          <w:left w:w="28" w:type="dxa"/>
          <w:bottom w:w="28" w:type="dxa"/>
          <w:right w:w="28" w:type="dxa"/>
        </w:tblCellMar>
      </w:tblPr>
      <w:tblGrid>
        <w:gridCol w:w="899"/>
        <w:gridCol w:w="791"/>
        <w:gridCol w:w="795"/>
        <w:gridCol w:w="234"/>
        <w:gridCol w:w="234"/>
        <w:gridCol w:w="235"/>
        <w:gridCol w:w="474"/>
        <w:gridCol w:w="417"/>
        <w:gridCol w:w="360"/>
        <w:gridCol w:w="306"/>
        <w:gridCol w:w="306"/>
        <w:gridCol w:w="308"/>
        <w:gridCol w:w="330"/>
        <w:gridCol w:w="330"/>
        <w:gridCol w:w="331"/>
        <w:gridCol w:w="228"/>
        <w:gridCol w:w="176"/>
        <w:gridCol w:w="155"/>
        <w:gridCol w:w="235"/>
        <w:gridCol w:w="235"/>
        <w:gridCol w:w="236"/>
        <w:gridCol w:w="424"/>
        <w:gridCol w:w="424"/>
        <w:gridCol w:w="425"/>
        <w:gridCol w:w="155"/>
        <w:gridCol w:w="337"/>
        <w:gridCol w:w="337"/>
        <w:gridCol w:w="488"/>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3"/>
            <w:tcBorders/>
            <w:tcMar>
              <w:top w:w="0" w:type="dxa"/>
              <w:left w:w="0" w:type="dxa"/>
              <w:bottom w:w="0" w:type="dxa"/>
              <w:right w:w="0" w:type="dxa"/>
            </w:tcMar>
            <w:vAlign w:val="center"/>
          </w:tcPr>
          <w:p>
            <w:pPr>
              <w:pStyle w:val="TableContents"/>
              <w:bidi w:val="0"/>
              <w:spacing w:lineRule="auto" w:line="288" w:before="60" w:after="283"/>
              <w:jc w:val="center"/>
              <w:rPr>
                <w:rFonts w:ascii="Arial;sans-serif" w:hAnsi="Arial;sans-serif"/>
                <w:b/>
                <w:color w:val="000000"/>
                <w:sz w:val="20"/>
              </w:rPr>
            </w:pPr>
            <w:r>
              <w:rPr>
                <w:rFonts w:ascii="Arial;sans-serif" w:hAnsi="Arial;sans-serif"/>
                <w:b/>
                <w:color w:val="000000"/>
                <w:sz w:val="20"/>
              </w:rPr>
              <w:t>BUSINESS OPERATING UNITS</w:t>
            </w:r>
          </w:p>
        </w:tc>
        <w:tc>
          <w:tcPr>
            <w:tcW w:w="1162" w:type="dxa"/>
            <w:gridSpan w:val="3"/>
            <w:tcBorders/>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REPORTABLE SEGMENTS</w:t>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Date</w:t>
              <w:br/>
              <w:t>Acquired</w:t>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Primary Location</w:t>
            </w:r>
          </w:p>
        </w:tc>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of Employees</w:t>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Infrastructure</w:t>
            </w:r>
          </w:p>
        </w:tc>
        <w:tc>
          <w:tcPr>
            <w:tcW w:w="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Water</w:t>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Buildings</w:t>
            </w:r>
          </w:p>
        </w:tc>
        <w:tc>
          <w:tcPr>
            <w:tcW w:w="12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Environmental Services</w:t>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Energy &amp; Resources</w:t>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United States</w:t>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Page Southerland Page, LLC. (Page)</w:t>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July 2025</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Washington, DC</w:t>
            </w:r>
          </w:p>
        </w:tc>
        <w:tc>
          <w:tcPr>
            <w:tcW w:w="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1,400</w:t>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Global</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Kallan Sustainable Holdings Limited and Ryan Hanley Limited (Ryan Hanley)</w:t>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April 2025</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Galway, Ireland</w:t>
            </w:r>
          </w:p>
        </w:tc>
        <w:tc>
          <w:tcPr>
            <w:tcW w:w="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150</w:t>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Cosgroves Group Limited (Cosgroves)</w:t>
            </w:r>
          </w:p>
        </w:tc>
        <w:tc>
          <w:tcPr>
            <w:tcW w:w="70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June 2025</w:t>
            </w:r>
          </w:p>
        </w:tc>
        <w:tc>
          <w:tcPr>
            <w:tcW w:w="12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Christchurch, New Zealand</w:t>
            </w:r>
          </w:p>
        </w:tc>
        <w:tc>
          <w:tcPr>
            <w:tcW w:w="9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90</w:t>
            </w:r>
          </w:p>
        </w:tc>
        <w:tc>
          <w:tcPr>
            <w:tcW w:w="99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2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21995"/>
                <wp:effectExtent l="0" t="0" r="0" b="0"/>
                <wp:wrapNone/>
                <wp:docPr id="4" name="Frame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Q1 2026 Financial Highlights</w:t>
      </w:r>
    </w:p>
    <w:tbl>
      <w:tblPr>
        <w:tblW w:w="8699" w:type="dxa"/>
        <w:jc w:val="left"/>
        <w:tblInd w:w="0" w:type="dxa"/>
        <w:tblLayout w:type="fixed"/>
        <w:tblCellMar>
          <w:top w:w="28" w:type="dxa"/>
          <w:left w:w="28" w:type="dxa"/>
          <w:bottom w:w="28" w:type="dxa"/>
          <w:right w:w="28" w:type="dxa"/>
        </w:tblCellMar>
      </w:tblPr>
      <w:tblGrid>
        <w:gridCol w:w="1566"/>
        <w:gridCol w:w="1375"/>
        <w:gridCol w:w="1379"/>
        <w:gridCol w:w="390"/>
        <w:gridCol w:w="391"/>
        <w:gridCol w:w="125"/>
        <w:gridCol w:w="285"/>
        <w:gridCol w:w="286"/>
        <w:gridCol w:w="483"/>
        <w:gridCol w:w="383"/>
        <w:gridCol w:w="383"/>
        <w:gridCol w:w="125"/>
        <w:gridCol w:w="285"/>
        <w:gridCol w:w="286"/>
        <w:gridCol w:w="476"/>
        <w:gridCol w:w="109"/>
        <w:gridCol w:w="109"/>
        <w:gridCol w:w="109"/>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93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w:t>
            </w:r>
          </w:p>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except per share amounts and percentages)</w:t>
            </w:r>
          </w:p>
        </w:tc>
        <w:tc>
          <w:tcPr>
            <w:tcW w:w="90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5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Net</w:t>
              <w:br/>
              <w:t>Revenue</w:t>
            </w:r>
          </w:p>
        </w:tc>
        <w:tc>
          <w:tcPr>
            <w:tcW w:w="8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of Net</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2,067.7</w:t>
            </w:r>
            <w:r>
              <w:rPr>
                <w:color w:val="000000"/>
              </w:rPr>
              <w:t> </w:t>
            </w:r>
          </w:p>
        </w:tc>
        <w:tc>
          <w:tcPr>
            <w:tcW w:w="12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122.0</w:t>
            </w:r>
          </w:p>
        </w:tc>
        <w:tc>
          <w:tcPr>
            <w:tcW w:w="483"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123.9</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1,694.3</w:t>
            </w:r>
            <w:r>
              <w:rPr>
                <w:color w:val="000000"/>
              </w:rPr>
              <w:t>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100.0</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780.2 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914.1</w:t>
            </w:r>
            <w:r>
              <w:rPr>
                <w:color w:val="000000"/>
              </w:rPr>
              <w:t> </w:t>
            </w:r>
          </w:p>
        </w:tc>
        <w:tc>
          <w:tcPr>
            <w:tcW w:w="125"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54.0</w:t>
            </w:r>
          </w:p>
        </w:tc>
        <w:tc>
          <w:tcPr>
            <w:tcW w:w="483"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w:t>
            </w:r>
          </w:p>
        </w:tc>
        <w:tc>
          <w:tcPr>
            <w:tcW w:w="47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Administrative and marketing expenses</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648.3 </w:t>
            </w:r>
          </w:p>
        </w:tc>
        <w:tc>
          <w:tcPr>
            <w:tcW w:w="125"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483"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612.0 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39.4</w:t>
            </w:r>
          </w:p>
        </w:tc>
        <w:tc>
          <w:tcPr>
            <w:tcW w:w="47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property and equipment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lease assets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expense and other net finance expense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expense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110.8</w:t>
            </w:r>
            <w:r>
              <w:rPr>
                <w:color w:val="000000"/>
              </w:rPr>
              <w:t> </w:t>
            </w:r>
          </w:p>
        </w:tc>
        <w:tc>
          <w:tcPr>
            <w:tcW w:w="125"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6.5</w:t>
            </w:r>
          </w:p>
        </w:tc>
        <w:tc>
          <w:tcPr>
            <w:tcW w:w="483"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47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Basic and diluted earnings per share (EPS)</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0.97</w:t>
            </w:r>
            <w:r>
              <w:rPr>
                <w:color w:val="000000"/>
              </w:rPr>
              <w:t> </w:t>
            </w:r>
          </w:p>
        </w:tc>
        <w:tc>
          <w:tcPr>
            <w:tcW w:w="125"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 (note)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287.0</w:t>
            </w:r>
            <w:r>
              <w:rPr>
                <w:color w:val="000000"/>
              </w:rPr>
              <w:t>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16.9</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net income (note)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152.2</w:t>
            </w:r>
            <w:r>
              <w:rPr>
                <w:color w:val="000000"/>
              </w:rPr>
              <w:t>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9.0</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EPS (note)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1.33</w:t>
            </w:r>
            <w:r>
              <w:rPr>
                <w:color w:val="000000"/>
              </w:rPr>
              <w:t> </w:t>
            </w:r>
          </w:p>
        </w:tc>
        <w:tc>
          <w:tcPr>
            <w:tcW w:w="1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declared per common share</w:t>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0.245</w:t>
            </w:r>
            <w:r>
              <w:rPr>
                <w:color w:val="000000"/>
              </w:rPr>
              <w:t> </w:t>
            </w:r>
          </w:p>
        </w:tc>
        <w:tc>
          <w:tcPr>
            <w:tcW w:w="125"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0.225 </w:t>
            </w:r>
          </w:p>
        </w:tc>
        <w:tc>
          <w:tcPr>
            <w:tcW w:w="125"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Adjusted EBITDA, adjusted net income, and adjusted EPS are non-IFRS measures (discussed in the Definitions section).</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n/m = not meaningful</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Q1 2026 compared to Q1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achieved strong first quarter adjusted net income of $152.2 million and adjusted earnings per share of $1.33, reflecting an increase of 14.7%, driven by net revenue growth and strong operational performance.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Net revenue increased 9.1% or $141.3 million, to $1.7 billion, driven by 7.2% acquisition growth and 3.6% organic growth. We drove organic growth in all of our regional operating units, and continued to deliver double-digit organic growth in our Water business.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Project margin increased 8.4% or $70.6 million, to $914.1 million as a result of net revenue growth and solid project execution. As a percentage of net revenue, project margin decreased slightly by 30 basis points to 54.0% as a result of changes in project mix and remained in line with our expected range.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EBITDA, driven by operational performance, increased 13.8% or $34.7 million, to $287.0 million. Adjusted EBITDA margin was 16.9%, an increase of 70 basis points compared to Q1 2025. The growth in margin was primarily due to lower administrative and marketing expenses as a percentage of net revenue and reflected continuing disciplined management of operations.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Net income increased 10.7% or $10.7 million, to $110.8 million, and diluted EPS increased 10.2%, or $0.09, to $0.97, mainly due to increases in net revenue and, as a percentage of net revenue, a 110 basis point reduction in administrative and marketing expenses, partly offset by higher amortization of intangible assets as a result of our recent acquisitions and income taxes.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net income grew 14.6% or $19.4 million, to $152.2 million, achieving 9.0% of net revenue—an increase of 40 basis points. Adjusted EPS increased 14.7% or $0.17, to $1.33.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Contract backlog grew to $9.0 billion at March 31, 2026, achieving a 13.2% year over year increase, which included 9.1% acquisition growth and 5.4% organic growth. Notably, our acquisition of Page contributed to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21995"/>
                <wp:effectExtent l="0" t="0" r="0" b="0"/>
                <wp:wrapNone/>
                <wp:docPr id="5" name="Frame5"/>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over 40% backlog growth in our Buildings business. Additionally, organic growth was achieved in all of our regions, including 21.8% organic growth in our Global region and nearly 10% organic growth in both Buildings and Water. Contract backlog represents approximately 13 months of work.</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Operating cash flows decreased $103.0 million or 102.3%, with cash outflows of $2.3 million, reflecting the expected disruption from the Page integration, particularly the financial system migration and the investment in net working capital as a result of high organic revenue growth in our Global region.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Days sales outstanding was 74 days, an improvement of 3 days compared to Q1 2025 and below our target of 75 days.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Net debt to adjusted EBITDA (on a trailing twelve-month basis) at March 31, 2026 remained at 1.3x, within our internal target range of 1.0x to 2.0x.</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On May 13, 2026</w:t>
      </w:r>
      <w:r>
        <w:rPr>
          <w:rFonts w:ascii="Arial;sans-serif" w:hAnsi="Arial;sans-serif"/>
          <w:b w:val="false"/>
          <w:color w:val="000000"/>
          <w:sz w:val="18"/>
          <w:shd w:fill="FFFFFF" w:val="clear"/>
        </w:rPr>
        <w:t>, our Board of Directors decl</w:t>
      </w:r>
      <w:r>
        <w:rPr>
          <w:rFonts w:ascii="Arial;sans-serif" w:hAnsi="Arial;sans-serif"/>
          <w:b w:val="false"/>
          <w:color w:val="000000"/>
          <w:sz w:val="18"/>
        </w:rPr>
        <w:t>ared a dividend of $0.245 per share, payable on July 15, 2026, to shareholders of record on June 30, 2026.</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Non-IFRS Financial Measures</w:t>
      </w:r>
    </w:p>
    <w:tbl>
      <w:tblPr>
        <w:tblW w:w="6869" w:type="dxa"/>
        <w:jc w:val="left"/>
        <w:tblInd w:w="0" w:type="dxa"/>
        <w:tblLayout w:type="fixed"/>
        <w:tblCellMar>
          <w:top w:w="28" w:type="dxa"/>
          <w:left w:w="28" w:type="dxa"/>
          <w:bottom w:w="28" w:type="dxa"/>
          <w:right w:w="28" w:type="dxa"/>
        </w:tblCellMar>
      </w:tblPr>
      <w:tblGrid>
        <w:gridCol w:w="1660"/>
        <w:gridCol w:w="1462"/>
        <w:gridCol w:w="1468"/>
        <w:gridCol w:w="454"/>
        <w:gridCol w:w="312"/>
        <w:gridCol w:w="312"/>
        <w:gridCol w:w="312"/>
        <w:gridCol w:w="312"/>
        <w:gridCol w:w="314"/>
        <w:gridCol w:w="109"/>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1078"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Net income </w:t>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110.8</w:t>
            </w:r>
            <w:r>
              <w:rPr>
                <w:color w:val="000000"/>
              </w:rPr>
              <w:t> </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 back:</w:t>
            </w:r>
          </w:p>
        </w:tc>
        <w:tc>
          <w:tcPr>
            <w:tcW w:w="107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expense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Unrealized loss on equity securities</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 integration, and restructuring costs (note 3)</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Adjusted EBITDA </w:t>
            </w:r>
          </w:p>
        </w:tc>
        <w:tc>
          <w:tcPr>
            <w:tcW w:w="7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287.0</w:t>
            </w:r>
            <w:r>
              <w:rPr>
                <w:color w:val="000000"/>
              </w:rPr>
              <w:t> </w:t>
            </w:r>
          </w:p>
        </w:tc>
        <w:tc>
          <w:tcPr>
            <w:tcW w:w="31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252.3 </w:t>
            </w:r>
          </w:p>
        </w:tc>
        <w:tc>
          <w:tcPr>
            <w:tcW w:w="3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526" w:type="dxa"/>
        <w:jc w:val="left"/>
        <w:tblInd w:w="0" w:type="dxa"/>
        <w:tblLayout w:type="fixed"/>
        <w:tblCellMar>
          <w:top w:w="28" w:type="dxa"/>
          <w:left w:w="28" w:type="dxa"/>
          <w:bottom w:w="28" w:type="dxa"/>
          <w:right w:w="28" w:type="dxa"/>
        </w:tblCellMar>
      </w:tblPr>
      <w:tblGrid>
        <w:gridCol w:w="1904"/>
        <w:gridCol w:w="1677"/>
        <w:gridCol w:w="1684"/>
        <w:gridCol w:w="853"/>
        <w:gridCol w:w="333"/>
        <w:gridCol w:w="312"/>
        <w:gridCol w:w="600"/>
        <w:gridCol w:w="586"/>
        <w:gridCol w:w="314"/>
        <w:gridCol w:w="109"/>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1498"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5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w:t>
            </w:r>
          </w:p>
        </w:tc>
        <w:tc>
          <w:tcPr>
            <w:tcW w:w="118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110.8</w:t>
            </w:r>
            <w:r>
              <w:rPr>
                <w:color w:val="000000"/>
              </w:rPr>
              <w:t> </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 back after tax:</w:t>
            </w:r>
          </w:p>
        </w:tc>
        <w:tc>
          <w:tcPr>
            <w:tcW w:w="149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intangible assets related to acquisitions (note 1)</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Unrealized loss on equity securities (note 2)</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 integration, and restructuring costs (note 3)</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net income</w:t>
            </w:r>
          </w:p>
        </w:tc>
        <w:tc>
          <w:tcPr>
            <w:tcW w:w="11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152.2</w:t>
            </w:r>
            <w:r>
              <w:rPr>
                <w:color w:val="000000"/>
              </w:rPr>
              <w:t> </w:t>
            </w:r>
          </w:p>
        </w:tc>
        <w:tc>
          <w:tcPr>
            <w:tcW w:w="31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132.8 </w:t>
            </w:r>
          </w:p>
        </w:tc>
        <w:tc>
          <w:tcPr>
            <w:tcW w:w="3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outstanding - diluted</w:t>
            </w:r>
          </w:p>
        </w:tc>
        <w:tc>
          <w:tcPr>
            <w:tcW w:w="11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1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earnings per share</w:t>
            </w:r>
          </w:p>
        </w:tc>
        <w:tc>
          <w:tcPr>
            <w:tcW w:w="118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1.33</w:t>
            </w:r>
            <w:r>
              <w:rPr>
                <w:color w:val="000000"/>
              </w:rPr>
              <w:t> </w:t>
            </w:r>
          </w:p>
        </w:tc>
        <w:tc>
          <w:tcPr>
            <w:tcW w:w="312"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31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See the Definitions section for our discussion of non-IFRS and other financial measures used and additional reconciliations of non-IFRS financial measures.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1: The add back of intangible amortization relates only to the amortization from intangible assets acquired through acquisitions and excludes the amortization of software purchased by Stantec. For the quarter ended March 31, 2026, this amount is net of tax of $8.0 (2025 - $4.5)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2: For the quarter ended March 31, 2026, this amount is net of tax of $1.9 (2025 - $2.0)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3: The add back of certain administrative and marketing costs and depreciation primarily related to acquisition and integration expenses associated with our acquisitions and restructuring costs. For the quarter ended March 31, 2026, this amount is net of tax of $3.3 (2025 - $3.2)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21995"/>
                <wp:effectExtent l="0" t="0" r="0" b="0"/>
                <wp:wrapNone/>
                <wp:docPr id="6" name="Frame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 xml:space="preserve">Financial Targets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provided our annual targets for 2026 on page M-10 in our 2025 Annual Report (incorporated herein by reference). </w:t>
      </w:r>
    </w:p>
    <w:tbl>
      <w:tblPr>
        <w:tblW w:w="5898" w:type="dxa"/>
        <w:jc w:val="left"/>
        <w:tblInd w:w="0" w:type="dxa"/>
        <w:tblLayout w:type="fixed"/>
        <w:tblCellMar>
          <w:top w:w="28" w:type="dxa"/>
          <w:left w:w="28" w:type="dxa"/>
          <w:bottom w:w="28" w:type="dxa"/>
          <w:right w:w="28" w:type="dxa"/>
        </w:tblCellMar>
      </w:tblPr>
      <w:tblGrid>
        <w:gridCol w:w="1438"/>
        <w:gridCol w:w="1257"/>
        <w:gridCol w:w="1279"/>
        <w:gridCol w:w="589"/>
        <w:gridCol w:w="589"/>
        <w:gridCol w:w="592"/>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2026 Annual Range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Targets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 growth</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8.5% to 11.5%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as % of net revenue (note)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17.6% to 18.2%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net income as % of net revenue (note)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at or above 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EPS growth (note)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 to 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Adjusted ROIC (note) </w:t>
            </w:r>
          </w:p>
        </w:tc>
        <w:tc>
          <w:tcPr>
            <w:tcW w:w="17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above 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In setting our targets and guidance, we assumed an average value for the US dollar of $1.36, GBP of $1.85, and AU of $0.90 for the remainder of the year. For all other underlying assumptions, see page M-20.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Adjusted EBITDA, adjusted net income, adjusted EPS, and adjusted ROIC are non-IFRS measures discussed in the Definitions section.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 xml:space="preserve">Outlook </w:t>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We operate in a dynamic global environment; however, the key demand drivers supporting our industry remain unchanged, while new trends and critical sector opportunities continue to emerge. Opportunities arising from aging infrastructure and urbanization, climate change and the need for resilience to extreme weather events, future technologies and associated energy requirements, advanced manufacturing, and resource security continue to drive growth in demand for our services. We have not seen any meaningful impacts or causes to change our overall outlook and we reaffirm our guidance previously reported.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expect to achieve net revenue growth of 8.5% to 11.5% in 2026, with organic net revenue growth in the mid- to high-single digits, driven by strong demand across all geographic reporting segments and business units. Organic growth in the United States is expected to accelerate in subsequent quarters and rebound to the annual target of mid- to high-single digits, supported by strong demand across all business lines. In Canada, we continue to expect growth to also accelerate and achieve the annual target of mid- to high-single digits by year end, driven by public sector spending plans and continued demand in Energy &amp; Resources. Lastly, Global is expected to maintain strong organic net revenue growth in the mid- to high-single digits, driven by continued high levels of activity in our Water business under the ongoing Asset Management Program and frameworks, strong demand in Energy &amp; Resources, and positive demand fundamentals across other Global business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anticipate adjusted EBITDA margin will continue to expand, reaching a record range of 17.6% to 18.2%. This improvement reflects strong project margins resulting from solid project execution, as well as continued discipline and enhanced strategies in the management of administration and marketing costs. These initiatives include the continued expansion of our high-value centers, optimization of digital strategies, and increased efficiencies from improved scale in certain key geographies. Adjusted EBITDA margin in the first and fourth quarters of 2026 is expected to be near or below the low end of this range due to normal seasonal factors in the northern hemisphere, offset by margins moving toward the higher end of the range, or above, in the second and third quarters as seasonal activity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Overall, we expect to achieve an adjusted net income margin at or above 9.5% of net revenue, an adjusted ROIC greater than 13%, and to deliver 15% to 18% growth in adjusted EPS compared to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above targets do not include any assumptions related to additional acquisitions, given the unpredictable nature of the timing and size of such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21995"/>
                <wp:effectExtent l="0" t="0" r="0" b="0"/>
                <wp:wrapNone/>
                <wp:docPr id="7" name="Frame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Financial Performance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sections outline specific factors that affected the results of our operations in Q1 2026.</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Gross and Net Revenue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While providing professional services, we incur certain direct costs for subconsultants, equipment, and other expenditures that are recoverable directly from our clients. Revenue associated with these direct costs is included in gross revenue. Because these direct costs and associated revenue can vary significantly from contract to contract, changes in gross revenue may not be indicative of our revenue trends. Accordingly, we also report net revenue (which is gross revenue less subconsultant and other direct expenses) and analyze results in relation to net revenue rather than gross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Q1 2026, we delivered net revenue of $1.7 billion and achieved a 9.1% net revenue increase compared to Q1 2025. Net revenue growth reflects solid performance in all of our regions, double-digit organic growth in our Water business, and significant contributions from our acquisitions of Page, Ryan Hanley, and Cosgroves. Public infrastructure spending and private investment continue to be key growth drivers in 2026, with strong demand across our water sectors and steady work in our transportation sectors. Other key drivers are the ongoing challenges to build climate resiliency, tackle resource security, and the growing needs for energy transition solutions. The focus on Smart Cities and buildings, including hospitals, data centers, and other mission-critical facilities to meet the needs in the civic, healthcare, residential, and industrial markets, also continues to drive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generate over 75% of our gross revenue in foreign currencies, primarily in US dollars, British pounds (GBP), and Australian (AU) dollars. Fluctuations in these and other currencies had a net $26.6 million negative impact on our net revenue results in Q1 2026 compared to Q1 2025:</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The US dollar averaged $1.44 in Q1 2025 and $1.37 in Q1 2026 —a 4.9% decrease. The weakening US dollar compared to the Canadian dollar had a negative effect on gross and net revenues.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The GBP averaged $1.81 in Q1 2025 and $1.85 in Q1 2026—a 2.2% increase. The strengthened GBP compared to the Canadian dollar had a positive effect on gross and net revenues.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The AU dollar averaged $0.90 in Q1 2025 and $0.95 in Q1 2026—a 5.6% increase. The strengthened AU dollar compared to the Canadian dollar had a positive effect on gross and net 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Fluctuations in other foreign currencies did not have a material impact on our gross and net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 earned by acquired companies in the first 12 months following an acquisition is reported as revenue from acquisitions and thereafter as organic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2"/>
        <w:gridCol w:w="547"/>
        <w:gridCol w:w="549"/>
        <w:gridCol w:w="269"/>
        <w:gridCol w:w="269"/>
        <w:gridCol w:w="212"/>
        <w:gridCol w:w="269"/>
        <w:gridCol w:w="269"/>
        <w:gridCol w:w="212"/>
        <w:gridCol w:w="218"/>
        <w:gridCol w:w="204"/>
        <w:gridCol w:w="512"/>
        <w:gridCol w:w="358"/>
        <w:gridCol w:w="358"/>
        <w:gridCol w:w="890"/>
        <w:gridCol w:w="362"/>
        <w:gridCol w:w="362"/>
        <w:gridCol w:w="903"/>
        <w:gridCol w:w="332"/>
        <w:gridCol w:w="323"/>
        <w:gridCol w:w="805"/>
        <w:gridCol w:w="287"/>
        <w:gridCol w:w="241"/>
        <w:gridCol w:w="712"/>
      </w:tblGrid>
      <w:tr>
        <w:trPr/>
        <w:tc>
          <w:tcPr>
            <w:tcW w:w="7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by Reportable Segment - Q1 2026</w:t>
            </w:r>
          </w:p>
        </w:tc>
      </w:tr>
      <w:tr>
        <w:trPr/>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5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2026</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2025</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xml:space="preserve">Change Due to Organic Growth </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w:t>
            </w:r>
          </w:p>
        </w:tc>
      </w:tr>
      <w:tr>
        <w:trPr/>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5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433.9</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425.7</w:t>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 xml:space="preserve">n/a </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5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7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75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1,135.7</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1,051.8</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w:t>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124.6</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7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75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498.1</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446.1</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w:t>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71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5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2,067.7</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w:t>
            </w:r>
          </w:p>
        </w:tc>
        <w:tc>
          <w:tcPr>
            <w:tcW w:w="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144.1</w:t>
            </w:r>
          </w:p>
        </w:tc>
        <w:tc>
          <w:tcPr>
            <w:tcW w:w="1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136.5</w:t>
            </w:r>
          </w:p>
        </w:tc>
        <w:tc>
          <w:tcPr>
            <w:tcW w:w="1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2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50"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512"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890"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903"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805"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21995"/>
                <wp:effectExtent l="0" t="0" r="0" b="0"/>
                <wp:wrapNone/>
                <wp:docPr id="8" name="Frame8"/>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3"/>
        <w:gridCol w:w="548"/>
        <w:gridCol w:w="550"/>
        <w:gridCol w:w="269"/>
        <w:gridCol w:w="269"/>
        <w:gridCol w:w="212"/>
        <w:gridCol w:w="269"/>
        <w:gridCol w:w="269"/>
        <w:gridCol w:w="212"/>
        <w:gridCol w:w="218"/>
        <w:gridCol w:w="204"/>
        <w:gridCol w:w="512"/>
        <w:gridCol w:w="358"/>
        <w:gridCol w:w="358"/>
        <w:gridCol w:w="892"/>
        <w:gridCol w:w="363"/>
        <w:gridCol w:w="363"/>
        <w:gridCol w:w="904"/>
        <w:gridCol w:w="329"/>
        <w:gridCol w:w="320"/>
        <w:gridCol w:w="799"/>
        <w:gridCol w:w="288"/>
        <w:gridCol w:w="241"/>
        <w:gridCol w:w="715"/>
      </w:tblGrid>
      <w:tr>
        <w:trPr/>
        <w:tc>
          <w:tcPr>
            <w:tcW w:w="7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 by Reportable Segment - Q1 2026</w:t>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5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2026</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2025</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6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w:t>
            </w:r>
          </w:p>
        </w:tc>
      </w:tr>
      <w:tr>
        <w:trPr/>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5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376.3</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372.1</w:t>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 xml:space="preserve">n/a </w:t>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75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892.5</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804.9</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87.6</w:t>
            </w:r>
          </w:p>
        </w:tc>
        <w:tc>
          <w:tcPr>
            <w:tcW w:w="16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w:t>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5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71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75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425.5</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376.0</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16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5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71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5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1,694.3</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w:t>
            </w:r>
          </w:p>
        </w:tc>
        <w:tc>
          <w:tcPr>
            <w:tcW w:w="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w:t>
            </w:r>
          </w:p>
        </w:tc>
        <w:tc>
          <w:tcPr>
            <w:tcW w:w="1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w:t>
            </w:r>
          </w:p>
        </w:tc>
        <w:tc>
          <w:tcPr>
            <w:tcW w:w="1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2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50"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512"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892"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904"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799"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8"/>
        <w:gridCol w:w="458"/>
        <w:gridCol w:w="460"/>
        <w:gridCol w:w="269"/>
        <w:gridCol w:w="269"/>
        <w:gridCol w:w="202"/>
        <w:gridCol w:w="269"/>
        <w:gridCol w:w="269"/>
        <w:gridCol w:w="202"/>
        <w:gridCol w:w="209"/>
        <w:gridCol w:w="192"/>
        <w:gridCol w:w="483"/>
        <w:gridCol w:w="325"/>
        <w:gridCol w:w="325"/>
        <w:gridCol w:w="810"/>
        <w:gridCol w:w="313"/>
        <w:gridCol w:w="313"/>
        <w:gridCol w:w="779"/>
        <w:gridCol w:w="373"/>
        <w:gridCol w:w="373"/>
        <w:gridCol w:w="931"/>
        <w:gridCol w:w="310"/>
        <w:gridCol w:w="310"/>
        <w:gridCol w:w="913"/>
      </w:tblGrid>
      <w:tr>
        <w:trPr/>
        <w:tc>
          <w:tcPr>
            <w:tcW w:w="84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Gross Revenue by Business Operating Unit - Q1 2026</w:t>
            </w:r>
          </w:p>
        </w:tc>
      </w:tr>
      <w:tr>
        <w:trPr/>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2026</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2025</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5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 (Retraction)</w:t>
            </w:r>
          </w:p>
        </w:tc>
      </w:tr>
      <w:tr>
        <w:trPr/>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74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538.2</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435.0</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130.1</w:t>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6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9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506.3</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514.4</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91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462.6</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422.8</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6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91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343.3</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344.8</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6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91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217.3</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206.6</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6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91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4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2,067.7</w:t>
            </w:r>
          </w:p>
        </w:tc>
        <w:tc>
          <w:tcPr>
            <w:tcW w:w="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w:t>
            </w:r>
          </w:p>
        </w:tc>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144.1</w:t>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136.5</w:t>
            </w:r>
          </w:p>
        </w:tc>
        <w:tc>
          <w:tcPr>
            <w:tcW w:w="1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6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5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40"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483"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810"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779"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931"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847"/>
        <w:gridCol w:w="457"/>
        <w:gridCol w:w="459"/>
        <w:gridCol w:w="269"/>
        <w:gridCol w:w="269"/>
        <w:gridCol w:w="202"/>
        <w:gridCol w:w="269"/>
        <w:gridCol w:w="269"/>
        <w:gridCol w:w="202"/>
        <w:gridCol w:w="209"/>
        <w:gridCol w:w="192"/>
        <w:gridCol w:w="483"/>
        <w:gridCol w:w="325"/>
        <w:gridCol w:w="325"/>
        <w:gridCol w:w="809"/>
        <w:gridCol w:w="312"/>
        <w:gridCol w:w="312"/>
        <w:gridCol w:w="778"/>
        <w:gridCol w:w="372"/>
        <w:gridCol w:w="372"/>
        <w:gridCol w:w="930"/>
        <w:gridCol w:w="320"/>
        <w:gridCol w:w="309"/>
        <w:gridCol w:w="914"/>
      </w:tblGrid>
      <w:tr>
        <w:trPr/>
        <w:tc>
          <w:tcPr>
            <w:tcW w:w="8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 by Business Operating Unit - Q1 2026</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2026</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2025</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6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 (Retraction)</w:t>
            </w:r>
          </w:p>
        </w:tc>
      </w:tr>
      <w:tr>
        <w:trPr/>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74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439.3</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348.2</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91.1</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6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419.7</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426.6</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6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6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91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385.2</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338.1</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w:t>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6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6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91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262.0</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264.6</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6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6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91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74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188.1</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175.5</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6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6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91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4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1,694.3</w:t>
            </w:r>
          </w:p>
        </w:tc>
        <w:tc>
          <w:tcPr>
            <w:tcW w:w="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w:t>
            </w:r>
          </w:p>
        </w:tc>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w:t>
            </w:r>
          </w:p>
        </w:tc>
        <w:tc>
          <w:tcPr>
            <w:tcW w:w="1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w:t>
            </w:r>
          </w:p>
        </w:tc>
        <w:tc>
          <w:tcPr>
            <w:tcW w:w="14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6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5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40"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483"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809"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77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930"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21995"/>
                <wp:effectExtent l="0" t="0" r="0" b="0"/>
                <wp:wrapNone/>
                <wp:docPr id="9" name="Frame9"/>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Canada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achieved 1.1% organic net revenue growth in our Canadian operations, consistent with our expectations for the first quarter. Strong organic net revenue growth in our Water business was driven by biosolids projects and continued momentum on wastewater solution projects. Robust organic net revenue growth was also achieved in both our Energy &amp; Resources and Buildings businesses through consistent progress on major power-intensive industrial processes projects and public sector investment primarily in our civic markets, respectively. Partly offsetting the growth was a retraction in our Infrastructure business due to a wind down of certain significant transit and roadway projects, however we expect a ramp up of new projects to commence in Q2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Double-digit growth in net revenue, driven by the acquisition of Page and organic growth, was partly offset by foreign exchange impacts. Our Water business achieved double-digit organic growth due to large wastewater treatment projects. In Energy &amp; Resources, work on a major hydropower dam project contributed to organic growth and our Infrastructure business delivered growth through data center projects in our north central region and benefited from favorable transportation project recoveries. Partly offsetting organic growth was a retraction in Buildings due to the completion of certain major mission critical projects in the quarter.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Global</w:t>
      </w:r>
    </w:p>
    <w:p>
      <w:pPr>
        <w:pStyle w:val="TextBody"/>
        <w:bidi w:val="0"/>
        <w:spacing w:lineRule="auto" w:line="288" w:before="0" w:after="0"/>
        <w:jc w:val="left"/>
        <w:rPr/>
      </w:pPr>
      <w:r>
        <w:rPr>
          <w:rFonts w:ascii="Arial;sans-serif" w:hAnsi="Arial;sans-serif"/>
          <w:b w:val="false"/>
          <w:color w:val="000000"/>
          <w:sz w:val="18"/>
        </w:rPr>
        <w:t>In our Global operations, we achieved net revenue growth of 13.2%, reflecting strong organic growth, acquisition growth, and positive foreign exchange impacts. Our industry-leading Water business continued to deliver robust organic growth</w:t>
      </w:r>
      <w:r>
        <w:rPr>
          <w:color w:val="000000"/>
          <w:shd w:fill="FFFFFF" w:val="clear"/>
        </w:rPr>
        <w:t>—</w:t>
      </w:r>
      <w:r>
        <w:rPr>
          <w:rFonts w:ascii="Arial;sans-serif" w:hAnsi="Arial;sans-serif"/>
          <w:b w:val="false"/>
          <w:color w:val="000000"/>
          <w:sz w:val="18"/>
        </w:rPr>
        <w:t>achieving 15% organic growth this quarter</w:t>
      </w:r>
      <w:r>
        <w:rPr>
          <w:color w:val="000000"/>
          <w:shd w:fill="FFFFFF" w:val="clear"/>
        </w:rPr>
        <w:t>—</w:t>
      </w:r>
      <w:r>
        <w:rPr>
          <w:rFonts w:ascii="Arial;sans-serif" w:hAnsi="Arial;sans-serif"/>
          <w:b w:val="false"/>
          <w:color w:val="000000"/>
          <w:sz w:val="18"/>
        </w:rPr>
        <w:t xml:space="preserve">through long-term framework agreements and public sector investment in water infrastructure across the UK, Australia, and New Zealand. The ramp up of projects in Chile and Peru drove double-digit organic growth in Energy &amp; Resources as the growing need for energy-transition solutions continued to drive demand in mining for copper. We also achieved double-digit organic growth in our German Infrastructure business due to momentum on a major public sector electrical transmission project and increased volume on transit and rail projects.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Backlog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define “backlog” as the total value of all contracts that have been awarded less the total value of work completed on these contracts as of the reporting date. Our backlog equates to our remaining performance obligations that are unsatisfied (or partially satisfied) at the end of the reporting period, as reported under IFRS Accounting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contract backlog at March 31, 2026 stands at $9.0 billion, reflecting an increase of over $1.0 billion since March 31, 2025, and represents approximately 13 months of work. Acquisitions completed in 2025 contributed to growth of 9.1% or $720.1 million, primarily within Buildings which had growth of over 40%. Backlog grew organically by 5.4%, or $430.1 million, in all of our regions, most notably in Global with organic growth of 21.8%, and particularly in our Water and Buildings businesses, both achieving nearly 10% organic growth.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Compared to December 31, 2025, our backlog grew 4.8%, or $409.5 million, reflecting organic growth of 3.7%, or $316.3 million. Organic growth was achieved in all of our regions and particularly in our Buildings and Environmental Services businesses.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6"/>
        <w:gridCol w:w="507"/>
        <w:gridCol w:w="508"/>
        <w:gridCol w:w="400"/>
        <w:gridCol w:w="265"/>
        <w:gridCol w:w="191"/>
        <w:gridCol w:w="400"/>
        <w:gridCol w:w="375"/>
        <w:gridCol w:w="191"/>
        <w:gridCol w:w="274"/>
        <w:gridCol w:w="247"/>
        <w:gridCol w:w="474"/>
        <w:gridCol w:w="343"/>
        <w:gridCol w:w="343"/>
        <w:gridCol w:w="854"/>
        <w:gridCol w:w="340"/>
        <w:gridCol w:w="340"/>
        <w:gridCol w:w="847"/>
        <w:gridCol w:w="330"/>
        <w:gridCol w:w="307"/>
        <w:gridCol w:w="723"/>
        <w:gridCol w:w="342"/>
        <w:gridCol w:w="244"/>
        <w:gridCol w:w="654"/>
      </w:tblGrid>
      <w:tr>
        <w:trPr/>
        <w:tc>
          <w:tcPr>
            <w:tcW w:w="7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Backlog by Reportable Segment - March 31, 2026 vs March 31, 2025</w:t>
            </w:r>
          </w:p>
        </w:tc>
      </w:tr>
      <w:tr>
        <w:trPr/>
        <w:tc>
          <w:tcPr>
            <w:tcW w:w="1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5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 31, 2026</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 31, 2025</w:t>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Change Due to Organic Growth</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of Organic Growth</w:t>
            </w:r>
          </w:p>
        </w:tc>
      </w:tr>
      <w:tr>
        <w:trPr/>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856"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1,862.0</w:t>
            </w:r>
          </w:p>
        </w:tc>
        <w:tc>
          <w:tcPr>
            <w:tcW w:w="7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1,753.1 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108.9</w:t>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108.9</w:t>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5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5,379.4</w:t>
            </w:r>
          </w:p>
        </w:tc>
        <w:tc>
          <w:tcPr>
            <w:tcW w:w="7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4,802.1 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577.3</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681.5</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(125.5)</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5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85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1,738.3</w:t>
            </w:r>
          </w:p>
        </w:tc>
        <w:tc>
          <w:tcPr>
            <w:tcW w:w="7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1,376.7 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361.6</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299.9</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65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5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8,979.7</w:t>
            </w:r>
          </w:p>
        </w:tc>
        <w:tc>
          <w:tcPr>
            <w:tcW w:w="7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7,931.9 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1,047.8</w:t>
            </w:r>
          </w:p>
        </w:tc>
        <w:tc>
          <w:tcPr>
            <w:tcW w:w="1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720.1</w:t>
            </w:r>
          </w:p>
        </w:tc>
        <w:tc>
          <w:tcPr>
            <w:tcW w:w="15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(102.4)</w:t>
            </w:r>
          </w:p>
        </w:tc>
        <w:tc>
          <w:tcPr>
            <w:tcW w:w="1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430.1</w:t>
            </w:r>
          </w:p>
        </w:tc>
        <w:tc>
          <w:tcPr>
            <w:tcW w:w="12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Percentage growth </w:t>
            </w:r>
          </w:p>
        </w:tc>
        <w:tc>
          <w:tcPr>
            <w:tcW w:w="856"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474"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854"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8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847"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37"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723"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21995"/>
                <wp:effectExtent l="0" t="0" r="0" b="0"/>
                <wp:wrapNone/>
                <wp:docPr id="10" name="Frame10"/>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19"/>
        <w:gridCol w:w="521"/>
        <w:gridCol w:w="523"/>
        <w:gridCol w:w="400"/>
        <w:gridCol w:w="268"/>
        <w:gridCol w:w="197"/>
        <w:gridCol w:w="405"/>
        <w:gridCol w:w="374"/>
        <w:gridCol w:w="198"/>
        <w:gridCol w:w="227"/>
        <w:gridCol w:w="221"/>
        <w:gridCol w:w="463"/>
        <w:gridCol w:w="348"/>
        <w:gridCol w:w="348"/>
        <w:gridCol w:w="867"/>
        <w:gridCol w:w="348"/>
        <w:gridCol w:w="348"/>
        <w:gridCol w:w="867"/>
        <w:gridCol w:w="332"/>
        <w:gridCol w:w="326"/>
        <w:gridCol w:w="735"/>
        <w:gridCol w:w="262"/>
        <w:gridCol w:w="256"/>
        <w:gridCol w:w="652"/>
      </w:tblGrid>
      <w:tr>
        <w:trPr/>
        <w:tc>
          <w:tcPr>
            <w:tcW w:w="7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Backlog By Reportable Segment - March 31, 2026 vs December 31, 2025</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6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 31, 2026</w:t>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Dec 31, 2025</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39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Change Due to Organic Growth </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of Organic Growth</w:t>
            </w:r>
          </w:p>
        </w:tc>
      </w:tr>
      <w:tr>
        <w:trPr/>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86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1,862.0</w:t>
            </w:r>
          </w:p>
        </w:tc>
        <w:tc>
          <w:tcPr>
            <w:tcW w:w="7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1,760.5 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5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6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5,379.4</w:t>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5,127.5 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251.9</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82.3</w:t>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169.6</w:t>
            </w:r>
          </w:p>
        </w:tc>
        <w:tc>
          <w:tcPr>
            <w:tcW w:w="5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65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86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1,738.3</w:t>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1,682.2 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5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65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6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8,979.7</w:t>
            </w:r>
          </w:p>
        </w:tc>
        <w:tc>
          <w:tcPr>
            <w:tcW w:w="7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8,570.2 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409.5</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316.3</w:t>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Percentage growth</w:t>
            </w:r>
          </w:p>
        </w:tc>
        <w:tc>
          <w:tcPr>
            <w:tcW w:w="865" w:type="dxa"/>
            <w:gridSpan w:val="3"/>
            <w:tcBorders>
              <w:bottom w:val="single" w:sz="8"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46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9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6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9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86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5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735"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Major Project Awards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secure major projects across various sectors, demonstrating our expertise and commitment to delivering impactful solutions for clients. Our strategic partnerships facilitated growth and expansion across the regions we serve and led to a number of impactful opportunities.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Canada</w:t>
      </w:r>
      <w:r>
        <w:rPr>
          <w:rFonts w:ascii="Arial;sans-serif" w:hAnsi="Arial;sans-serif"/>
          <w:b/>
          <w:color w:val="000000"/>
          <w:sz w:val="18"/>
          <w:shd w:fill="FFFF00" w:val="clear"/>
        </w:rPr>
        <w:br/>
      </w:r>
      <w:r>
        <w:rPr>
          <w:rFonts w:ascii="Arial;sans-serif" w:hAnsi="Arial;sans-serif"/>
          <w:b w:val="false"/>
          <w:color w:val="000000"/>
          <w:sz w:val="18"/>
        </w:rPr>
        <w:t>The Buildings team was selected to provide design services for a civic, commercial, and educational hub in Surrey, British Columbia. The space will support long-term economic development, activate the downtown core, and reinforce the area as a vibrant, mixed-use destination. Our Energy &amp; Resources teams have been selected by a Canadian energy provider for a new master services agreement to help enhance and expand natural gas infrastructure in Western Canada. The program will improve system reliability, support long-term growth, and meet the evolving energy needs of communities and industries. As part of an ongoing partnership, the City of Winnipeg selected our Water team for the new North End Sewage Treatment Plant, which will use a thermophilic digestion process to convert wastewater residuals into Class A biosolids. For the twelfth consecutive year, Alamos Gold has chosen Stantec’s Environmental Services team to provide construction-phase environmental monitoring and permitting support for the restoration of the historic Lynn Lake Gold Mine in Manitoba.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United States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Infrastructure team was selected as a joint venture partner to lead the design of a 10-mile, 15-station light rail system consisting only of electric trains, the first of its kind in Austin, Texas. The joint venture will deliver comprehensive design services including transitway, tracks, systems, stations, bridges, traffic signals, utilities, drainage structures, and streetscape improvements. In North Carolina, the Infrastructure team will provide program management for the Charlotte Area Transit System’s multibillion-dollar investment in roads, rail, and bus improvements in Greater Charlotte and Mecklenburg County. Our Energy &amp; Resources team was awarded a multimillion new master services agreement to provide design and engineering services for a major power delivery client in the western US. Drawing upon extensive experience in advanced manufacturing, the Buildings team was selected to provide design services during the construction phase of a multibillion-dollar semiconductor manufacturing and research and development facility in Idaho. This project includes onsite water treatment facilities and five ancillary support buildings.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Global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Netherlands, the Environmental Services team was selected by Alliander, an energy utility provider, to ensure their public facilities, including streetlights, comply with safety regulations regarding touch voltage. The two-year program will address 1,800 stations and 4,500 connections, each requiring specially designed solutions. In Brisbane, Australia, the Water team is supporting Queensland Urban Utilities with a suite of engineering services to improve water infrastructure for more than 1.6 million residents across the region. In Chile, our Energy &amp; Resources team was selected to oversee and provide quality review in earthmoving, civil, piping, geosynthetic, mechanical, electrical, and instrumentation work for a tailings management facility. Work will occur during construction and commissioning of electromechanical facilities, including tailings pumps, water systems, piping, and electrical components.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21995"/>
                <wp:effectExtent l="0" t="0" r="0" b="0"/>
                <wp:wrapNone/>
                <wp:docPr id="11" name="Frame11"/>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Project Margin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general, project margin fluctuations depend on the particular mix of projects in progress during any quarter and on project execution. The fluctuations reflect our business model, which is based on providing services across diverse geographic locations, business operating units, and all phases of the infrastructure and facilities project life cycle. For a definition of project margin, refer to the Financial Performance section of our 2025 Annual Report (incorporated herein by reference).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Project margin in the quarter increased $70.6 million, or 8.4%, and as a percentage of net revenue, project margin slightly decreased to 54.0% from 54.3%. </w:t>
      </w:r>
      <w:r>
        <w:rPr>
          <w:rFonts w:ascii="Arial;sans-serif" w:hAnsi="Arial;sans-serif"/>
          <w:b w:val="false"/>
          <w:color w:val="000000"/>
          <w:sz w:val="18"/>
        </w:rPr>
        <w:t xml:space="preserve">Net revenue growth, driven by strong </w:t>
      </w:r>
      <w:r>
        <w:rPr>
          <w:rFonts w:ascii="Arial;sans-serif" w:hAnsi="Arial;sans-serif"/>
          <w:b w:val="false"/>
          <w:color w:val="000000"/>
          <w:sz w:val="18"/>
          <w:shd w:fill="FFFFFF" w:val="clear"/>
        </w:rPr>
        <w:t>public and private investments, contributed to project margin increas</w:t>
      </w:r>
      <w:r>
        <w:rPr>
          <w:rFonts w:ascii="Arial;sans-serif" w:hAnsi="Arial;sans-serif"/>
          <w:b w:val="false"/>
          <w:color w:val="000000"/>
          <w:sz w:val="18"/>
        </w:rPr>
        <w:t xml:space="preserve">es. As a percentage of net revenue, the decrease in project margin is due to a change in project mix in in Canada and Global. </w:t>
      </w:r>
    </w:p>
    <w:p>
      <w:pPr>
        <w:pStyle w:val="TextBody"/>
        <w:bidi w:val="0"/>
        <w:spacing w:before="0" w:after="0"/>
        <w:jc w:val="left"/>
        <w:rPr/>
      </w:pPr>
      <w:r>
        <w:rPr/>
      </w:r>
    </w:p>
    <w:tbl>
      <w:tblPr>
        <w:tblW w:w="7331" w:type="dxa"/>
        <w:jc w:val="left"/>
        <w:tblInd w:w="0" w:type="dxa"/>
        <w:tblLayout w:type="fixed"/>
        <w:tblCellMar>
          <w:top w:w="28" w:type="dxa"/>
          <w:left w:w="28" w:type="dxa"/>
          <w:bottom w:w="28" w:type="dxa"/>
          <w:right w:w="28" w:type="dxa"/>
        </w:tblCellMar>
      </w:tblPr>
      <w:tblGrid>
        <w:gridCol w:w="1223"/>
        <w:gridCol w:w="1074"/>
        <w:gridCol w:w="1078"/>
        <w:gridCol w:w="308"/>
        <w:gridCol w:w="308"/>
        <w:gridCol w:w="205"/>
        <w:gridCol w:w="233"/>
        <w:gridCol w:w="233"/>
        <w:gridCol w:w="511"/>
        <w:gridCol w:w="308"/>
        <w:gridCol w:w="308"/>
        <w:gridCol w:w="205"/>
        <w:gridCol w:w="285"/>
        <w:gridCol w:w="285"/>
        <w:gridCol w:w="286"/>
        <w:gridCol w:w="109"/>
        <w:gridCol w:w="109"/>
        <w:gridCol w:w="109"/>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 by Reportable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7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Quarter Ended Mar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98"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67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2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7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Net</w:t>
              <w:br/>
              <w:t>Revenue</w:t>
            </w:r>
          </w:p>
        </w:tc>
        <w:tc>
          <w:tcPr>
            <w:tcW w:w="8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of Net</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196.8 </w:t>
            </w:r>
          </w:p>
        </w:tc>
        <w:tc>
          <w:tcPr>
            <w:tcW w:w="20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511"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491.8 </w:t>
            </w:r>
          </w:p>
        </w:tc>
        <w:tc>
          <w:tcPr>
            <w:tcW w:w="20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511"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225.5 </w:t>
            </w:r>
          </w:p>
        </w:tc>
        <w:tc>
          <w:tcPr>
            <w:tcW w:w="20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511"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914.1 </w:t>
            </w:r>
          </w:p>
        </w:tc>
        <w:tc>
          <w:tcPr>
            <w:tcW w:w="20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51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20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420" w:type="dxa"/>
        <w:jc w:val="left"/>
        <w:tblInd w:w="0" w:type="dxa"/>
        <w:tblLayout w:type="fixed"/>
        <w:tblCellMar>
          <w:top w:w="28" w:type="dxa"/>
          <w:left w:w="28" w:type="dxa"/>
          <w:bottom w:w="28" w:type="dxa"/>
          <w:right w:w="28" w:type="dxa"/>
        </w:tblCellMar>
      </w:tblPr>
      <w:tblGrid>
        <w:gridCol w:w="1223"/>
        <w:gridCol w:w="1074"/>
        <w:gridCol w:w="1078"/>
        <w:gridCol w:w="308"/>
        <w:gridCol w:w="308"/>
        <w:gridCol w:w="225"/>
        <w:gridCol w:w="233"/>
        <w:gridCol w:w="233"/>
        <w:gridCol w:w="560"/>
        <w:gridCol w:w="308"/>
        <w:gridCol w:w="308"/>
        <w:gridCol w:w="225"/>
        <w:gridCol w:w="285"/>
        <w:gridCol w:w="285"/>
        <w:gridCol w:w="286"/>
        <w:gridCol w:w="109"/>
        <w:gridCol w:w="109"/>
        <w:gridCol w:w="109"/>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9"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 by Business Operating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4"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Quarter Ended Mar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67"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69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4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2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Net</w:t>
              <w:br/>
              <w:t>Revenue</w:t>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of Net</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230.2 </w:t>
            </w:r>
          </w:p>
        </w:tc>
        <w:tc>
          <w:tcPr>
            <w:tcW w:w="22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560"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2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56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2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56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2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56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2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w:t>
            </w:r>
          </w:p>
        </w:tc>
        <w:tc>
          <w:tcPr>
            <w:tcW w:w="56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914.1 </w:t>
            </w:r>
          </w:p>
        </w:tc>
        <w:tc>
          <w:tcPr>
            <w:tcW w:w="22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56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22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Canada, project margin decreased $2.7 million to $196.8 million and as a percentage of net revenue, project margin decreased 130 basis points to 52.3%. A change in project mix and lower volume in rail projects and roadways contributed to lower margins as a percentage of net revenue in Infrastructure and Buildings. Partly offsetting the decrease was improved margin work in Energy &amp; Resources, Environmental Services and Water.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our US operations, project margin increased $48.1 million to $491.8 million and as a percentage of net revenue, project margin remained consistent at 55.1%. Solid and consistent project execution throughout Infrastructure and Water, as well as project recoveries in Infrastructure, were partly offset by a higher volume of lower margin projects during the quarter in Environmental Services, and Energy &amp; Resources and certain project execution issues in Buildings.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our Global operations, project margin increased $25.2 million to $225.5 million and as a percentage of net revenue, project margin decreased slightly by 30 basis points to 53.0%. The decrease in profit margin as a percentage of revenue was due to a shift in project mix in our Water business and certain project execution issues in Buildings. Partly offsetting the decrease was a strong volume of higher margin work in Energy &amp; Resources and solid project execution in Environmental Services.</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605" cy="14605"/>
                <wp:effectExtent l="0" t="0" r="0" b="0"/>
                <wp:wrapNone/>
                <wp:docPr id="12" name="Frame1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Administrative and Marketing Expenses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Administrative and marketing expenses in the quarter decreased as a percentage of net revenue by 110 basis points to 38.3%. Our overall disciplined management of operations contributed to lower administrative and marketing costs as a percentage of net revenue.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Amortization of Intangible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Amortization of intangible assets increased $13.9 million in Q1 2026 as a result of acquisitions completed in 2025 which had added intangible assets of $192.9 million to client relationships and $61.5 million to contract backlog.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Net Interest Expense and Other Net Finance Expense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interest expense and other net finance expense increased $2.7 million compared to Q1 2025. The increase was primarily due to the higher overall net debt to fund our 2025 acquisitions.</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effective income tax rate increased from 23.0% in Q1 2025 to 24.4% in Q1 2026, due to the mix of earnings from the various jurisdictions we operate in and moderating impacts on tax planning strategies.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Summary of Quarterly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selected data derived from our consolidated financial statements for each of the eight most recently completed quarters. This information should be read in conjunction with the applicable interim unaudited and annual audited consolidated financial statements and related notes.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Quarterly Unaudited Financial Information</w:t>
      </w:r>
    </w:p>
    <w:tbl>
      <w:tblPr>
        <w:tblW w:w="10205" w:type="dxa"/>
        <w:jc w:val="left"/>
        <w:tblInd w:w="0" w:type="dxa"/>
        <w:tblLayout w:type="fixed"/>
        <w:tblCellMar>
          <w:top w:w="28" w:type="dxa"/>
          <w:left w:w="28" w:type="dxa"/>
          <w:bottom w:w="28" w:type="dxa"/>
          <w:right w:w="28" w:type="dxa"/>
        </w:tblCellMar>
      </w:tblPr>
      <w:tblGrid>
        <w:gridCol w:w="1124"/>
        <w:gridCol w:w="956"/>
        <w:gridCol w:w="960"/>
        <w:gridCol w:w="383"/>
        <w:gridCol w:w="383"/>
        <w:gridCol w:w="176"/>
        <w:gridCol w:w="383"/>
        <w:gridCol w:w="383"/>
        <w:gridCol w:w="116"/>
        <w:gridCol w:w="383"/>
        <w:gridCol w:w="383"/>
        <w:gridCol w:w="116"/>
        <w:gridCol w:w="383"/>
        <w:gridCol w:w="383"/>
        <w:gridCol w:w="116"/>
        <w:gridCol w:w="383"/>
        <w:gridCol w:w="383"/>
        <w:gridCol w:w="116"/>
        <w:gridCol w:w="383"/>
        <w:gridCol w:w="383"/>
        <w:gridCol w:w="116"/>
        <w:gridCol w:w="383"/>
        <w:gridCol w:w="383"/>
        <w:gridCol w:w="116"/>
        <w:gridCol w:w="383"/>
        <w:gridCol w:w="383"/>
        <w:gridCol w:w="165"/>
      </w:tblGrid>
      <w:tr>
        <w:trPr/>
        <w:tc>
          <w:tcPr>
            <w:tcW w:w="112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2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2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r>
      <w:tr>
        <w:trPr/>
        <w:tc>
          <w:tcPr>
            <w:tcW w:w="304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94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Q1</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Q4</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Q3</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w:t>
            </w:r>
          </w:p>
        </w:tc>
        <w:tc>
          <w:tcPr>
            <w:tcW w:w="88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Q4</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Q3</w:t>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w:t>
            </w:r>
          </w:p>
        </w:tc>
      </w:tr>
      <w:tr>
        <w:trPr/>
        <w:tc>
          <w:tcPr>
            <w:tcW w:w="3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revenue</w:t>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2,067.7 </w:t>
            </w:r>
          </w:p>
        </w:tc>
        <w:tc>
          <w:tcPr>
            <w:tcW w:w="17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2,115.8 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1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1,959.5 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1,929.4 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1,889.7 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1,694.3 </w:t>
            </w:r>
          </w:p>
        </w:tc>
        <w:tc>
          <w:tcPr>
            <w:tcW w:w="1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1,705.4 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1,478.4 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1,524.8 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1,493.3 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net income (note)</w:t>
            </w:r>
          </w:p>
        </w:tc>
        <w:tc>
          <w:tcPr>
            <w:tcW w:w="76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132.8 </w:t>
            </w:r>
          </w:p>
        </w:tc>
        <w:tc>
          <w:tcPr>
            <w:tcW w:w="1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147.9 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127.2 </w:t>
            </w:r>
          </w:p>
        </w:tc>
        <w:tc>
          <w:tcPr>
            <w:tcW w:w="1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EPS (note)</w:t>
            </w:r>
          </w:p>
        </w:tc>
        <w:tc>
          <w:tcPr>
            <w:tcW w:w="76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7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65"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Adjusted net income and adjusted EPS are non-IFRS measures discussed in the Definitions section.</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Quarterly EPS and adjusted EPS are not additive and may not equal the annual EPS reported.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table below compares quarters, summarizing the impact of organic and acquisition growth and foreign exchange on net revenue:</w:t>
      </w:r>
    </w:p>
    <w:p>
      <w:pPr>
        <w:pStyle w:val="TextBody"/>
        <w:bidi w:val="0"/>
        <w:spacing w:before="0" w:after="0"/>
        <w:jc w:val="left"/>
        <w:rPr/>
      </w:pPr>
      <w:r>
        <w:rPr/>
      </w:r>
    </w:p>
    <w:tbl>
      <w:tblPr>
        <w:tblW w:w="9902" w:type="dxa"/>
        <w:jc w:val="left"/>
        <w:tblInd w:w="0" w:type="dxa"/>
        <w:tblLayout w:type="fixed"/>
        <w:tblCellMar>
          <w:top w:w="28" w:type="dxa"/>
          <w:left w:w="28" w:type="dxa"/>
          <w:bottom w:w="28" w:type="dxa"/>
          <w:right w:w="28" w:type="dxa"/>
        </w:tblCellMar>
      </w:tblPr>
      <w:tblGrid>
        <w:gridCol w:w="2269"/>
        <w:gridCol w:w="1996"/>
        <w:gridCol w:w="2005"/>
        <w:gridCol w:w="324"/>
        <w:gridCol w:w="292"/>
        <w:gridCol w:w="271"/>
        <w:gridCol w:w="324"/>
        <w:gridCol w:w="292"/>
        <w:gridCol w:w="271"/>
        <w:gridCol w:w="324"/>
        <w:gridCol w:w="292"/>
        <w:gridCol w:w="271"/>
        <w:gridCol w:w="307"/>
        <w:gridCol w:w="309"/>
        <w:gridCol w:w="355"/>
      </w:tblGrid>
      <w:tr>
        <w:trPr/>
        <w:tc>
          <w:tcPr>
            <w:tcW w:w="226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2026</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Q4 2025</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Q3 2025</w:t>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Q2 2025</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vs.</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vs.</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vs.</w:t>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vs.</w:t>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88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 2025</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Q4 2024</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Q3 2024</w:t>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Q2 2024</w:t>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in net revenue due to</w:t>
            </w:r>
          </w:p>
        </w:tc>
        <w:tc>
          <w:tcPr>
            <w:tcW w:w="88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growth</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Impact of foreign exchange rates on revenue earned by foreign subsidiaries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increase in net revenue</w:t>
            </w:r>
          </w:p>
        </w:tc>
        <w:tc>
          <w:tcPr>
            <w:tcW w:w="61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27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2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180.6 </w:t>
            </w:r>
          </w:p>
        </w:tc>
        <w:tc>
          <w:tcPr>
            <w:tcW w:w="2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35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21995"/>
                <wp:effectExtent l="0" t="0" r="0" b="0"/>
                <wp:wrapNone/>
                <wp:docPr id="13" name="Frame13"/>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experience variability in our results of operations from quarter to quarter due to the nature of the sectors and geographies we operate in. In the first and fourth quarters, we see slowdowns related to winter weather conditions in the northern hemisphere and holiday schedules. The increase in net revenue in Q1 2026 compared to Q1 2025 reflects organic growth and revenue contributions from acquisitions completed in the last twelve months, partly offset with net foreign exchange impacts. (See additional information on the operating results in our MD&amp;A for each respective quarter.)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Statements of Financial Position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highlights the major changes to assets, liabilities, and equity since December 31, 2025:</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1134"/>
        <w:gridCol w:w="998"/>
        <w:gridCol w:w="1003"/>
        <w:gridCol w:w="399"/>
        <w:gridCol w:w="399"/>
        <w:gridCol w:w="402"/>
        <w:gridCol w:w="383"/>
        <w:gridCol w:w="383"/>
        <w:gridCol w:w="520"/>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120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 31, 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 31, 2025</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79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2,870.3 </w:t>
            </w:r>
          </w:p>
        </w:tc>
        <w:tc>
          <w:tcPr>
            <w:tcW w:w="40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2,790.8 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312.3 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assets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563.8 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Goodwill </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3,270.5 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3,221.8 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561.2 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594.5 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asset</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262.4 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79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8,044.7</w:t>
            </w:r>
            <w:r>
              <w:rPr>
                <w:color w:val="000000"/>
              </w:rPr>
              <w:t> </w:t>
            </w:r>
          </w:p>
        </w:tc>
        <w:tc>
          <w:tcPr>
            <w:tcW w:w="40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lease liabilities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265.5 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provisions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 other current liabilities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1,703.1 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1,814.9 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79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2,132.8 </w:t>
            </w:r>
          </w:p>
        </w:tc>
        <w:tc>
          <w:tcPr>
            <w:tcW w:w="40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2,266.0 </w:t>
            </w:r>
          </w:p>
        </w:tc>
        <w:tc>
          <w:tcPr>
            <w:tcW w:w="5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621.0 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1,577.3 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1,527.3 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187.3 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liability</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3,375.4 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79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8,044.7</w:t>
            </w:r>
            <w:r>
              <w:rPr>
                <w:color w:val="000000"/>
              </w:rPr>
              <w:t> </w:t>
            </w:r>
          </w:p>
        </w:tc>
        <w:tc>
          <w:tcPr>
            <w:tcW w:w="40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2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the Liquidity and Capital Resources section for an explanation of the changes in current assets, current liabilities, and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amount of assets and liabilities for our US operations and certain other global subsidiaries on our consolidated statements of financial position increased, primarily due to the strengthening of the US and Australian dollars relative to the Canadian dollar. Other factors that impacted our assets and liabilities are indicated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Lease assets increased primarily due to the recognition of lease additions and modifications during the quarter, offset by depreciation expense. Additions to property and equipment were largely offset by depreciation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Decreases to long-term assets include the amortization of intangible assets and the reduction in other assets primarily related to the net sales of investments held for self-insured liabilities.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21995"/>
                <wp:effectExtent l="0" t="0" r="0" b="0"/>
                <wp:wrapNone/>
                <wp:docPr id="14" name="Frame1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long-term debt increased $24.5 million due to higher draws on the revolving credit facility partly offset by repayments made on notes payable and other financing obligations. Lease liabilities increased due to additions and modifications, partly offset by lease payments made.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quarter, we converted our bulk buy-in annuity policy for a section of the UK pension scheme into buy-out annuity contracts. This conversion settled $103.1 million of our defined benefit obligation and reduced the related plan assets by an equal amount. As a result, there was no impact on our net employee defined benefit asset, net income, other comprehensive income,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Liquidity and Capital Resources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able to meet our liquidity needs through various sources, including cash generated from operations; long- and short-term borrowings (further described in the Capital Management section); and the issuance of common shares. We use funds primarily to pay operational expenses; complete acquisitions; sustain capital spending on property, equipment, and software; repay long-term debt; repurchase shares; and pay dividend distributions to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internally generated cash flows, supplemented by borrowings, if necessary, will be sufficient to cover our normal operating and capital expenditures. However, under certain favorable market conditions, we do consider issuing common shares to facilitate acquisition growth or to reduce borrowings under our credit facilities.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working capital information at March 31, 2026, compared to December 31, 2025:</w:t>
      </w:r>
    </w:p>
    <w:p>
      <w:pPr>
        <w:pStyle w:val="TextBody"/>
        <w:bidi w:val="0"/>
        <w:spacing w:before="0" w:after="0"/>
        <w:jc w:val="left"/>
        <w:rPr/>
      </w:pPr>
      <w:r>
        <w:rPr/>
      </w:r>
    </w:p>
    <w:tbl>
      <w:tblPr>
        <w:tblW w:w="5441" w:type="dxa"/>
        <w:jc w:val="left"/>
        <w:tblInd w:w="0" w:type="dxa"/>
        <w:tblLayout w:type="fixed"/>
        <w:tblCellMar>
          <w:top w:w="28" w:type="dxa"/>
          <w:left w:w="28" w:type="dxa"/>
          <w:bottom w:w="28" w:type="dxa"/>
          <w:right w:w="28" w:type="dxa"/>
        </w:tblCellMar>
      </w:tblPr>
      <w:tblGrid>
        <w:gridCol w:w="1069"/>
        <w:gridCol w:w="941"/>
        <w:gridCol w:w="945"/>
        <w:gridCol w:w="399"/>
        <w:gridCol w:w="399"/>
        <w:gridCol w:w="402"/>
        <w:gridCol w:w="383"/>
        <w:gridCol w:w="383"/>
        <w:gridCol w:w="520"/>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ratios)</w:t>
            </w:r>
          </w:p>
        </w:tc>
        <w:tc>
          <w:tcPr>
            <w:tcW w:w="120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 31, 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 31, 2025</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79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2,870.3 </w:t>
            </w:r>
          </w:p>
        </w:tc>
        <w:tc>
          <w:tcPr>
            <w:tcW w:w="40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2,790.8 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2,132.8 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2,266.0 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Working capital (note)</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737.5 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ratio (note)</w:t>
            </w:r>
          </w:p>
        </w:tc>
        <w:tc>
          <w:tcPr>
            <w:tcW w:w="798"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402"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52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See the Definitions section for our discussion of supplementary financial measures used.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amount of current assets and liabilities for our US operations and certain other global subsidiaries on our consolidated statements of financial position increased, primarily due to the strengthening of the US and Australian dollars relative to the Canadian dollar. Other factors that impacted our assets and liabilities are indicated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Current assets increased due to a collective increase of $96.3 million in trade and other receivables, unbilled receivables, and contract assets, primarily related to the timing of billings and collections, and an increase in prepaid expenses of $34.1 million related to increased subscription renewal fees for certain cloud-based software solutions. These increases were partly offset by a decrease in cash and cash equivalents of $40.4 million (explained in the Cash Flows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DSO, defined in the Definitions section, was 74 days at March 31, 2026, a decrease of 3 days compared to March 31, 2025 and an increase of 5 days compared to December 31, 2025, and was below our stated internal guideline of 75 days.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decrease in current liabilities was primarily related to the decrease in trade and other payables, due to the timing of the annual employee short-term incentive awards payment and supplier payments, as well as a decrease in the current portion of long-term debt (explained in the Statements of Financial Position section).</w:t>
      </w:r>
    </w:p>
    <w:p>
      <w:pPr>
        <w:pStyle w:val="TextBody"/>
        <w:bidi w:val="0"/>
        <w:spacing w:before="0" w:after="0"/>
        <w:jc w:val="left"/>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21995"/>
                <wp:effectExtent l="0" t="0" r="0" b="0"/>
                <wp:wrapNone/>
                <wp:docPr id="15" name="Frame15"/>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cash flows from and used in operating, investing, and financing activities are reflected in the consolidated statements of cash flows and are summarized below:</w:t>
      </w:r>
    </w:p>
    <w:tbl>
      <w:tblPr>
        <w:tblW w:w="7047" w:type="dxa"/>
        <w:jc w:val="left"/>
        <w:tblInd w:w="0" w:type="dxa"/>
        <w:tblLayout w:type="fixed"/>
        <w:tblCellMar>
          <w:top w:w="28" w:type="dxa"/>
          <w:left w:w="28" w:type="dxa"/>
          <w:bottom w:w="28" w:type="dxa"/>
          <w:right w:w="28" w:type="dxa"/>
        </w:tblCellMar>
      </w:tblPr>
      <w:tblGrid>
        <w:gridCol w:w="1362"/>
        <w:gridCol w:w="1199"/>
        <w:gridCol w:w="1204"/>
        <w:gridCol w:w="327"/>
        <w:gridCol w:w="327"/>
        <w:gridCol w:w="327"/>
        <w:gridCol w:w="327"/>
        <w:gridCol w:w="327"/>
        <w:gridCol w:w="329"/>
        <w:gridCol w:w="344"/>
        <w:gridCol w:w="346"/>
        <w:gridCol w:w="256"/>
        <w:gridCol w:w="109"/>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Quarter Ended Mar 31,</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98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(used in) from operating activities</w:t>
            </w:r>
          </w:p>
        </w:tc>
        <w:tc>
          <w:tcPr>
            <w:tcW w:w="65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2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(used in) investing activities</w:t>
            </w:r>
          </w:p>
        </w:tc>
        <w:tc>
          <w:tcPr>
            <w:tcW w:w="65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2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used in financing activities</w:t>
            </w:r>
          </w:p>
        </w:tc>
        <w:tc>
          <w:tcPr>
            <w:tcW w:w="654"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(63.2)</w:t>
            </w:r>
          </w:p>
        </w:tc>
        <w:tc>
          <w:tcPr>
            <w:tcW w:w="327"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32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25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Flows (Used In) From Operating Activities</w: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Cash flows used in operating activities were $2.3 million, a decrease in cash inflows of $103.0 million compared to Q1 2025, reflecting the expected disruption from the Page integration, particularly the financial system migration. Cash inflows were also lower due to the investment in net working capital as a result of high organic revenue growth in our global region. Partly offsetting the decrease in cash inflows were lower tax payments due to timing of installments.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Flows From (Used in) 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investing activities were $3.4 million compared to cash flows used in investing of $21.6 million in Q1 2025, an increase of $25.0 million. The net proceeds from the sale of investments held for self-insured liabilities were $24.5 million compared to net purchases of $6.9 million in the comparative period. This was partially offset by an increase in cash used to purchase property and equipment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Flows Used In 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used in financing activities were $63.2 million, a $9.4 million increase compared to Q1 2025, primarily due to an increase in cash outflows for lease liabilities, bank indebtedness, and notes payable and other financing obligations. These increases in cash outflows were partially offset by an increase in net proceeds from our revolving credit facility compared to Q1 2025.</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Capital Management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objective in managing Stantec's capital is to provide sufficient capacity to cover normal operating and capital expenditures and to have flexibility for financing future growth. We focus our capital allocations on increasing shareholder value through funding accretive acquisitions in pursuit of our growth strategy while maintaining a strong balance sheet, repurchasing shares opportunistically, and managing dividend increases to our target payout ratio in a sustainable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manage our capital structure according to our internal guideline of maintaining a net debt to adjusted EBITDA (actual trailing twelve months) ratio of less than 2.0 to 1.0. There may be occasions when we exceed our target by completing acquisitions that increase our debt level for a period of time. </w:t>
      </w:r>
    </w:p>
    <w:p>
      <w:pPr>
        <w:pStyle w:val="TextBody"/>
        <w:bidi w:val="0"/>
        <w:spacing w:before="0" w:after="0"/>
        <w:jc w:val="left"/>
        <w:rPr/>
      </w:pPr>
      <w:r>
        <w:rPr/>
      </w:r>
    </w:p>
    <w:tbl>
      <w:tblPr>
        <w:tblW w:w="6610" w:type="dxa"/>
        <w:jc w:val="left"/>
        <w:tblInd w:w="0" w:type="dxa"/>
        <w:tblLayout w:type="fixed"/>
        <w:tblCellMar>
          <w:top w:w="28" w:type="dxa"/>
          <w:left w:w="28" w:type="dxa"/>
          <w:bottom w:w="28" w:type="dxa"/>
          <w:right w:w="28" w:type="dxa"/>
        </w:tblCellMar>
      </w:tblPr>
      <w:tblGrid>
        <w:gridCol w:w="1492"/>
        <w:gridCol w:w="1313"/>
        <w:gridCol w:w="1319"/>
        <w:gridCol w:w="399"/>
        <w:gridCol w:w="399"/>
        <w:gridCol w:w="402"/>
        <w:gridCol w:w="383"/>
        <w:gridCol w:w="383"/>
        <w:gridCol w:w="520"/>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ratios)</w:t>
            </w:r>
          </w:p>
        </w:tc>
        <w:tc>
          <w:tcPr>
            <w:tcW w:w="120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 31, 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 31,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and non-current portion of long-term debt</w:t>
            </w:r>
          </w:p>
        </w:tc>
        <w:tc>
          <w:tcPr>
            <w:tcW w:w="79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1,842.8 </w:t>
            </w:r>
          </w:p>
        </w:tc>
        <w:tc>
          <w:tcPr>
            <w:tcW w:w="40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1,818.3 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(357.7)</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Bank indebtedness</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debt</w:t>
            </w:r>
          </w:p>
        </w:tc>
        <w:tc>
          <w:tcPr>
            <w:tcW w:w="79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1,502.6 </w:t>
            </w:r>
          </w:p>
        </w:tc>
        <w:tc>
          <w:tcPr>
            <w:tcW w:w="40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1,449.8 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79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3,375.4 </w:t>
            </w:r>
          </w:p>
        </w:tc>
        <w:tc>
          <w:tcPr>
            <w:tcW w:w="40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capital managed</w:t>
            </w:r>
          </w:p>
        </w:tc>
        <w:tc>
          <w:tcPr>
            <w:tcW w:w="79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4,878.0 </w:t>
            </w:r>
          </w:p>
        </w:tc>
        <w:tc>
          <w:tcPr>
            <w:tcW w:w="40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4,690.2 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Trailing twelve months adjusted EBITDA (note)</w:t>
            </w:r>
          </w:p>
        </w:tc>
        <w:tc>
          <w:tcPr>
            <w:tcW w:w="79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1,178.3 </w:t>
            </w:r>
          </w:p>
        </w:tc>
        <w:tc>
          <w:tcPr>
            <w:tcW w:w="40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1,143.7 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debt to adjusted EBITDA ratio (note)</w:t>
            </w:r>
          </w:p>
        </w:tc>
        <w:tc>
          <w:tcPr>
            <w:tcW w:w="79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w:t>
            </w:r>
            <w:r>
              <w:rPr>
                <w:color w:val="000000"/>
              </w:rPr>
              <w:t> </w:t>
            </w:r>
          </w:p>
        </w:tc>
        <w:tc>
          <w:tcPr>
            <w:tcW w:w="40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52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See the Definitions section for our discussion of non-IFRS measures used.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At March 31, 2026, our net debt to adjusted EBITDA ratio was 1.3x, consistent with the ratio at </w:t>
      </w:r>
      <w:r>
        <w:rPr>
          <w:rFonts w:ascii="Arial;sans-serif" w:hAnsi="Arial;sans-serif"/>
          <w:b w:val="false"/>
          <w:color w:val="000000"/>
          <w:sz w:val="18"/>
          <w:shd w:fill="FFFFFF" w:val="clear"/>
        </w:rPr>
        <w:t xml:space="preserve">December 31, 2025, </w:t>
      </w:r>
      <w:r>
        <w:rPr>
          <w:rFonts w:ascii="Arial;sans-serif" w:hAnsi="Arial;sans-serif"/>
          <w:b w:val="false"/>
          <w:color w:val="000000"/>
          <w:sz w:val="18"/>
        </w:rPr>
        <w:t xml:space="preserve">remaining within our stated internal guideline </w:t>
      </w:r>
      <w:r>
        <w:rPr>
          <w:rFonts w:ascii="Arial;sans-serif" w:hAnsi="Arial;sans-serif"/>
          <w:b w:val="false"/>
          <w:color w:val="000000"/>
          <w:sz w:val="18"/>
          <w:shd w:fill="FFFFFF" w:val="clear"/>
        </w:rPr>
        <w:t>and providing additional capacity to fund future acquisition opportunities and growth initiatives.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21995"/>
                <wp:effectExtent l="0" t="0" r="0" b="0"/>
                <wp:wrapNone/>
                <wp:docPr id="16" name="Frame1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credit facilities include: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senior unsecured notes of $975 million;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syndicated senior unsecured credit facilities of $1.5 billion, structured as a sustainability-linked loan, consisting of a revolving credit facility in the maximum of $1.2 billion and a term loan of $310 million (with access to additional funds of $600 million through an accordion feature);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unsecured bilateral credit facilities, including a term facility of CA$100 million and a revolving facility of US$100 million;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an uncommitted unsecured multicurrency credit facility of £20 million and an overdraft facility of AU$5 million.</w:t>
      </w:r>
    </w:p>
    <w:p>
      <w:pPr>
        <w:pStyle w:val="TextBody"/>
        <w:bidi w:val="0"/>
        <w:spacing w:before="60" w:after="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required to comply with certain covenants as part of our senior unsecured notes, syndicated senior credit facilities, and unsecured bilateral credit facilities. The key financial covenants include, but are not limited to, ratios that measure our debt relative to our profitability (as defined by the credit facilities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At March 31, 2026, $1,265.3 million was available in our credit facilities for future activities and we were in compliance with the covenants related to our credit facilities as at and throughout the period ended March 31, 2026.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Shareholders’ Equity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Shareholders’ equity increased $135.0 million from December 31, 2025. The increase in shareholders' equity was due to net income of $110.8 million earned in the first quarter of 2026 and other comprehensive income of $52.1 million, primarily related to exchange differences on translation of our foreign subsidiaries, partly offset with dividends declared of $27.9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Normal Course Issuer Bid (NCIB) on the TSX was renewed on March 12, 2026, enabling us to repurchase up to 2,281,339 of our common shares during the period of March 12, 2026 to March 11, 2027. We also have an Automatic Share Purchase Plan with a broker that allows the purchase of common shares for cancellation under the NCIB at any time during predetermined trading blackout periods within certain pre-established parameters.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Other</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Outstanding Share Data</w:t>
      </w:r>
    </w:p>
    <w:p>
      <w:pPr>
        <w:pStyle w:val="TextBody"/>
        <w:bidi w:val="0"/>
        <w:spacing w:lineRule="auto" w:line="288" w:before="0" w:after="0"/>
        <w:jc w:val="left"/>
        <w:rPr/>
      </w:pPr>
      <w:r>
        <w:rPr>
          <w:rFonts w:ascii="Arial;sans-serif" w:hAnsi="Arial;sans-serif"/>
          <w:b w:val="false"/>
          <w:color w:val="000000"/>
          <w:sz w:val="18"/>
        </w:rPr>
        <w:t>Common shares outstanding were 114,066,995 at March 31, 2026 and May 13, 2026. No shar</w:t>
      </w:r>
      <w:r>
        <w:rPr>
          <w:rFonts w:ascii="Arial;sans-serif" w:hAnsi="Arial;sans-serif"/>
          <w:b w:val="false"/>
          <w:color w:val="000000"/>
          <w:sz w:val="18"/>
          <w:shd w:fill="FFFFFF" w:val="clear"/>
        </w:rPr>
        <w:t>es were repurchased from April 1</w:t>
      </w:r>
      <w:r>
        <w:rPr>
          <w:rFonts w:ascii="Arial;sans-serif" w:hAnsi="Arial;sans-serif"/>
          <w:b w:val="false"/>
          <w:color w:val="000000"/>
          <w:sz w:val="18"/>
        </w:rPr>
        <w:t xml:space="preserve">, 2026 to May 13, 2026 </w:t>
      </w:r>
      <w:r>
        <w:rPr>
          <w:rFonts w:ascii="Arial;sans-serif" w:hAnsi="Arial;sans-serif"/>
          <w:b w:val="false"/>
          <w:color w:val="000000"/>
          <w:sz w:val="18"/>
          <w:shd w:fill="FFFFFF" w:val="clear"/>
        </w:rPr>
        <w:t>under our NCIB or our Automatic Share Purchase Plan.</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nature and extent of our contractual obligations did not change materially from those described in the Contractual Obligations section of our 2025 Annual Report (incorporated herein by reference). Management believes sufficient liquidity is available to meet our contractual obligations as at March 31, 2026.</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nature and extent of our off-balance sheet arrangements did not change materially from those described in the Off-Balance Sheet Arrangements section of our 2025 Annual Report (incorporated herein by reference).</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Financial Instruments and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At March 31, 2026, the nature and extent of our use of financial instruments did not change materially from those described in the Financial Instruments and Market Risk section of our 2025 Annual Report (incorporated herein by reference). </w:t>
      </w:r>
    </w:p>
    <w:p>
      <w:pPr>
        <w:pStyle w:val="TextBody"/>
        <w:bidi w:val="0"/>
        <w:spacing w:before="0" w:after="0"/>
        <w:jc w:val="left"/>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21995"/>
                <wp:effectExtent l="0" t="0" r="0" b="0"/>
                <wp:wrapNone/>
                <wp:docPr id="17" name="Frame1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Related-Party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Transactions with subsidiaries, structured entities, associated companies, joint ventures, and key management personnel are further described in note 32 of our audited consolidated financial statements for the year ended December 31, 2025 (included in our 2025 Annual Report and incorporated herein by reference). At March 31, 2026, the nature and extent of these transactions were not materially different from those disclosed in the 2025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Critical Accounting Developments, Estimates, and Measures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Amendments to IFRS 9 and IFRS 7 adopted in the quarter and disclosed in note 3 of our unaudited interim consolidated financial statements for the quarter ended March 31, 2026 (incorporated herein by reference), resulted in a change in the accounting policy for derecognition of liabilities settled with cash. Previously, we derecognized liabilities settled with cash on payment instruction. Under the new policy, we have elected to apply the optional exception to derecognize financial liabilities settled through qualifying electronic payment systems on payment instruction, while financial liabilities settled through other methods are derecognized on settlement.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amendments apply retrospectively; however, we were not required to restate prior periods to reflect their application under transitional provisions. The adjustment to cash and cash equivalents and trade and other payables at January 1, 2026 is reflected in our unaudited interim consolidated statements of cash flows for the quarter ended March 31, 2026. The amendments did not have any other material effects on our consolidated financial statements.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Future Adoptions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Standards, amendments, and interpretations that we reasonably expect to be applicable at a future date and intend to adopt when they become effective are described in note 3 of our unaudited interim consolidated financial statements for the quarter ended March 31, 2026 (incorporated herein by reference). We are currently considering the impact of adopting these standards and amendments on our consolidated financial statements.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br/>
        <w:t>Critical Accounting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consolidated financial statements in accordance with IFRS Accounting Standards requires us to make various estimates and assumptions. However, future events may result in significant differences between estimates and actual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There has been no significant change in our critical accounting estimates from those described in our 2025 Annual Report in the Critical Accounting Estimates, Developments, and Measures section and in note 5 of our December 31, 2025 audited consoli</w:t>
      </w:r>
      <w:r>
        <w:rPr>
          <w:rFonts w:ascii="Arial;sans-serif" w:hAnsi="Arial;sans-serif"/>
          <w:b w:val="false"/>
          <w:color w:val="000000"/>
          <w:sz w:val="18"/>
          <w:shd w:fill="FFFFFF" w:val="clear"/>
        </w:rPr>
        <w:t xml:space="preserve">dated financial statements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Definitions of Non-IFRS and Other Financial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This MD&amp;A includes references to and uses measures and terms that are not specifically defined in IFRS Accounting Standards and do not have any standardized meaning prescribed by IFRS Accounting Standards. These measures and terms are defined below. These non-IFRS and other financial measures may not be comparable to similar measures presented by other companies. We believe that the measures defined here are useful for providing investors with additional information to assist them in understanding components of our financial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u w:val="single"/>
        </w:rPr>
      </w:pPr>
      <w:r>
        <w:rPr>
          <w:rFonts w:ascii="Arial;sans-serif" w:hAnsi="Arial;sans-serif"/>
          <w:b/>
          <w:i/>
          <w:color w:val="000000"/>
          <w:sz w:val="18"/>
          <w:u w:val="single"/>
        </w:rPr>
        <w:t>Non-IFRS Financial Measures and Ratios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Adjusted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several adjusted financial measures because we believe they are useful for providing securities analysts, investors, and other interested parties with additional information to assist them in understanding components of our financial results (including a more complete understanding of factors and trends affecting our operating performance). These adjusted measures also provide supplemental measures of operating performance and improve comparability of operating results from one period to another, thus highlighting trends that may not otherwise be apparent when relying solely on IFRS Accounting Standards financial measures. Unless otherwise noted, a reconciliation of these adjusted measures to the most directly comparable IFRS Accounting Standards measure is included on page M-4.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21995"/>
                <wp:effectExtent l="0" t="0" r="0" b="0"/>
                <wp:wrapNone/>
                <wp:docPr id="18" name="Frame18"/>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represents net</w:t>
      </w:r>
      <w:r>
        <w:rPr>
          <w:color w:val="000000"/>
        </w:rPr>
        <w:t xml:space="preserve"> </w:t>
      </w:r>
      <w:r>
        <w:rPr>
          <w:rFonts w:ascii="Arial;sans-serif" w:hAnsi="Arial;sans-serif"/>
          <w:b w:val="false"/>
          <w:color w:val="000000"/>
          <w:sz w:val="18"/>
        </w:rPr>
        <w:t>income from continuing operations before interest expense, income taxes, depreciation of property and equipment, depreciation of lease assets, amortization of intangible assets, impairment charges and reversals thereof, acquisition, integration and restructuring costs, and other adjustments for other specific items that are significant but are not reflective of our underlying operations. Specific items are subjective; however, we use our judgment and informed decision-making when identifying items to be excluded in calculating our adjusted measures. We use adjusted EBITDA as a measure of pre-tax operating cash flow performance. The most comparable IFRS Accounting Standards measure for adjusted EBITDA is net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Net Income</w:t>
      </w:r>
      <w:r>
        <w:rPr>
          <w:color w:val="000000"/>
        </w:rPr>
        <w:t xml:space="preserve"> </w:t>
      </w:r>
      <w:r>
        <w:rPr>
          <w:rFonts w:ascii="Arial;sans-serif" w:hAnsi="Arial;sans-serif"/>
          <w:b w:val="false"/>
          <w:color w:val="000000"/>
          <w:sz w:val="18"/>
        </w:rPr>
        <w:t xml:space="preserve">represents net income from continuing operations excluding the amortization of intangibles acquired through acquisitions, impairment charges and reversals thereof, acquisition, integration and restructuring costs, and adjustments for other specific items that are significant but are not reflective of our underlying operations, all on an after-tax basis. Specific items are subjective; however, we use our judgment and informed decision-making when identifying items to be excluded in calculating our adjusted measures. We use adjusted net income as a measure of overall profitability. The most comparable IFRS Accounting Standards measure for adjusted net income is net income.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Earnings Per Share (EPS</w:t>
      </w:r>
      <w:r>
        <w:rPr>
          <w:rFonts w:ascii="Arial;sans-serif" w:hAnsi="Arial;sans-serif"/>
          <w:b/>
          <w:color w:val="000000"/>
          <w:sz w:val="18"/>
        </w:rPr>
        <w:t>)</w:t>
      </w:r>
      <w:r>
        <w:rPr>
          <w:color w:val="000000"/>
        </w:rPr>
        <w:t xml:space="preserve"> </w:t>
      </w:r>
      <w:r>
        <w:rPr>
          <w:rFonts w:ascii="Arial;sans-serif" w:hAnsi="Arial;sans-serif"/>
          <w:b w:val="false"/>
          <w:color w:val="000000"/>
          <w:sz w:val="18"/>
        </w:rPr>
        <w:t>is a non-IFRS ratio calculated by dividing adjusted net income (defined above) by the diluted weighted average number of shares outstanding.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Return on Invested Capital (ROIC)</w:t>
      </w:r>
      <w:r>
        <w:rPr>
          <w:color w:val="000000"/>
        </w:rPr>
        <w:t xml:space="preserve"> </w:t>
      </w:r>
      <w:r>
        <w:rPr>
          <w:rFonts w:ascii="Arial;sans-serif" w:hAnsi="Arial;sans-serif"/>
          <w:b w:val="false"/>
          <w:color w:val="000000"/>
          <w:sz w:val="18"/>
        </w:rPr>
        <w:t xml:space="preserve">is a non-IFRS ratio that represents our full year adjusted net income (defined above) before tax-adjusted interest relative to our average aggregate net debt and adjusted shareholders’ equity, determined annually. Average net debt and adjusted shareholders’ equity are calculated using balances from past years. Adjusted shareholders’ equity includes the impact of adjusted net income from continuing operations (as defined above). We use adjusted ROIC to evaluate annual returns generated on our debt and equity capital. The most comparable IFRS Accounting Standards measure for adjusted net income before tax-adjusted interest is net income. The most comparable measure for adjusted shareholders’ equity is shareholders’ equity.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Net Debt to Adjusted EBITDA.</w:t>
      </w:r>
      <w:r>
        <w:rPr>
          <w:color w:val="000000"/>
        </w:rPr>
        <w:t> </w:t>
      </w:r>
      <w:r>
        <w:rPr>
          <w:rFonts w:ascii="Arial;sans-serif" w:hAnsi="Arial;sans-serif"/>
          <w:b w:val="false"/>
          <w:color w:val="000000"/>
          <w:sz w:val="18"/>
        </w:rPr>
        <w:t>As part of our assessment of our capital structure, we monitor net debt to adjusted EBITDA, a non-IFRS ratio. It is defined as the sum of (1) long-term debt, including current portion, and bank indebtedness, less cash and cash equivalents, divided by (2) adj</w:t>
      </w:r>
      <w:r>
        <w:rPr>
          <w:rFonts w:ascii="Arial;sans-serif" w:hAnsi="Arial;sans-serif"/>
          <w:b w:val="false"/>
          <w:color w:val="000000"/>
          <w:sz w:val="18"/>
          <w:shd w:fill="FFFFFF" w:val="clear"/>
        </w:rPr>
        <w:t>uste</w:t>
      </w:r>
      <w:r>
        <w:rPr>
          <w:rFonts w:ascii="Arial;sans-serif" w:hAnsi="Arial;sans-serif"/>
          <w:b w:val="false"/>
          <w:color w:val="000000"/>
          <w:sz w:val="18"/>
        </w:rPr>
        <w:t xml:space="preserve">d EBITDA (as defined above). Net debt to adjusted EBITDA is quantified in the Liquidity and Capital Resources section on page </w:t>
      </w:r>
      <w:hyperlink w:anchor="i93d96a42445c4486b047d09b9cdf13d6_31">
        <w:r>
          <w:rPr>
            <w:rStyle w:val="InternetLink"/>
            <w:rFonts w:ascii="Arial;sans-serif" w:hAnsi="Arial;sans-serif"/>
            <w:b w:val="false"/>
            <w:strike w:val="false"/>
            <w:dstrike w:val="false"/>
            <w:color w:val="000000"/>
            <w:sz w:val="18"/>
            <w:u w:val="none"/>
            <w:effect w:val="none"/>
          </w:rPr>
          <w:t>M-</w:t>
        </w:r>
      </w:hyperlink>
      <w:r>
        <w:rPr>
          <w:rFonts w:ascii="Arial;sans-serif" w:hAnsi="Arial;sans-serif"/>
          <w:b w:val="false"/>
          <w:color w:val="000000"/>
          <w:sz w:val="18"/>
        </w:rPr>
        <w:t>13.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Free Cash Flow</w:t>
      </w:r>
      <w:r>
        <w:rPr>
          <w:color w:val="000000"/>
        </w:rPr>
        <w:t xml:space="preserve"> </w:t>
      </w:r>
      <w:r>
        <w:rPr>
          <w:rFonts w:ascii="Arial;sans-serif" w:hAnsi="Arial;sans-serif"/>
          <w:b w:val="false"/>
          <w:color w:val="000000"/>
          <w:sz w:val="18"/>
        </w:rPr>
        <w:t>is used to monitor the availability of discretionary cash as part of our capital management. It is defined as operating cash flows less capital expenditures and net lease payments. A reconciliation of free cash flow to its most comparable IFRS Accounting Standards measure, cash flows from operating activities, is included in the Additional Reconciliation of Non-IFRS Financial Measure on page M-18.</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Free Cash Flow to Net Income </w:t>
      </w:r>
      <w:r>
        <w:rPr>
          <w:rFonts w:ascii="Arial;sans-serif" w:hAnsi="Arial;sans-serif"/>
          <w:b w:val="false"/>
          <w:color w:val="000000"/>
          <w:sz w:val="18"/>
        </w:rPr>
        <w:t>is a non-IFRS ratio that we use to measure conversion of net income into cash. It is calculated by dividing free cash flow (defined above) by net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Margin. </w:t>
      </w:r>
      <w:r>
        <w:rPr>
          <w:rFonts w:ascii="Arial;sans-serif" w:hAnsi="Arial;sans-serif"/>
          <w:b w:val="false"/>
          <w:color w:val="000000"/>
          <w:sz w:val="18"/>
        </w:rPr>
        <w:t>We calculate margin as a percentage of net revenue and monitor margin in comparison to our internal targets. Margin is a non-IFRS ratio when applied to non-IFRS financial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Constant Currency Basis and Impact of Foreign Exchange. </w:t>
      </w:r>
      <w:r>
        <w:rPr>
          <w:rFonts w:ascii="Arial;sans-serif" w:hAnsi="Arial;sans-serif"/>
          <w:b w:val="false"/>
          <w:color w:val="000000"/>
          <w:sz w:val="18"/>
        </w:rPr>
        <w:t>We monitor the impact of changing foreign exchange rates, quantify foreign exchange impacts, and, from time to time, prepare analyses on a constant currency basis (i.e., excluding the impact of foreign exchange) to better understand changes in activity. Amounts presented on a constant currency basis are non-IFRS financial measures; related fractions and percentages are non-IFRS ratios.</w:t>
      </w:r>
    </w:p>
    <w:p>
      <w:pPr>
        <w:pStyle w:val="TextBody"/>
        <w:bidi w:val="0"/>
        <w:spacing w:before="0" w:after="0"/>
        <w:jc w:val="left"/>
        <w:rPr/>
      </w:pPr>
      <w:r>
        <w:rPr/>
      </w:r>
    </w:p>
    <w:p>
      <w:pPr>
        <w:pStyle w:val="TextBody"/>
        <w:bidi w:val="0"/>
        <w:spacing w:lineRule="auto" w:line="288" w:before="60" w:after="283"/>
        <w:jc w:val="left"/>
        <w:rPr/>
      </w:pPr>
      <w:r>
        <w:rPr>
          <w:rFonts w:ascii="Arial;sans-serif" w:hAnsi="Arial;sans-serif"/>
          <w:b/>
          <w:color w:val="000000"/>
          <w:sz w:val="18"/>
        </w:rPr>
        <w:t>Compound Annual Growth Rate (CAGR)</w:t>
      </w:r>
      <w:r>
        <w:rPr>
          <w:color w:val="000000"/>
        </w:rPr>
        <w:t xml:space="preserve"> </w:t>
      </w:r>
      <w:r>
        <w:rPr>
          <w:rFonts w:ascii="Arial;sans-serif" w:hAnsi="Arial;sans-serif"/>
          <w:b w:val="false"/>
          <w:color w:val="000000"/>
          <w:sz w:val="18"/>
        </w:rPr>
        <w:t>is a metric we use to evaluate the growth in our business. It represents the growth rate over a period of time on an annual compounded basis. CAGR is a non-IFRS ratio when applied to non-IFRS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u w:val="single"/>
        </w:rPr>
      </w:pPr>
      <w:r>
        <w:rPr>
          <w:rFonts w:ascii="Arial;sans-serif" w:hAnsi="Arial;sans-serif"/>
          <w:b/>
          <w:i/>
          <w:color w:val="000000"/>
          <w:sz w:val="18"/>
          <w:u w:val="single"/>
        </w:rPr>
        <w:t>Supplementary Financial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Days Sales Outstanding (DSO)</w:t>
      </w:r>
      <w:r>
        <w:rPr>
          <w:color w:val="000000"/>
        </w:rPr>
        <w:t xml:space="preserve"> </w:t>
      </w:r>
      <w:r>
        <w:rPr>
          <w:rFonts w:ascii="Arial;sans-serif" w:hAnsi="Arial;sans-serif"/>
          <w:b w:val="false"/>
          <w:color w:val="000000"/>
          <w:sz w:val="18"/>
        </w:rPr>
        <w:t>is a metric we use to evaluate the efficiency of our working capital. It represents the average number of days to convert our trade receivables, unbilled receivables, contract assets, and deferred revenue to cash. We calculate DSO by annualizing gross revenue for the quarter as reported under IFRS Accounting Standards.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21995"/>
                <wp:effectExtent l="0" t="0" r="0" b="0"/>
                <wp:wrapNone/>
                <wp:docPr id="19" name="Frame19"/>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Organic Growth (Retraction) and Acquisition Growth.</w:t>
      </w:r>
      <w:r>
        <w:rPr>
          <w:color w:val="000000"/>
        </w:rPr>
        <w:t xml:space="preserve"> </w:t>
      </w:r>
      <w:r>
        <w:rPr>
          <w:rFonts w:ascii="Arial;sans-serif" w:hAnsi="Arial;sans-serif"/>
          <w:b w:val="false"/>
          <w:color w:val="000000"/>
          <w:sz w:val="18"/>
        </w:rPr>
        <w:t>To evaluate our performance, we quantify the change in revenue and backlog as either related to organic growth (retraction), acquisition growth, or the impact of foreign exchange. Revenue and backlog earned by acquired companies in the first 12 months following an acquisition is reported as growth from acquisitions and thereafter as organic growth (retraction). Organic growth (retraction) excludes the impact of foreign currency fluctuations. From time to time, we also quantify the impacts of certain unusual events to organic growth (retraction) to provide useful information to investors to help better understand our financial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Margin</w:t>
      </w:r>
      <w:r>
        <w:rPr>
          <w:color w:val="000000"/>
        </w:rPr>
        <w:t xml:space="preserve"> </w:t>
      </w:r>
      <w:r>
        <w:rPr>
          <w:rFonts w:ascii="Arial;sans-serif" w:hAnsi="Arial;sans-serif"/>
          <w:b w:val="false"/>
          <w:color w:val="000000"/>
          <w:sz w:val="18"/>
        </w:rPr>
        <w:t>(defined above) is a supplementary financial measure when applied to IFRS Accounting Standard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Compound Annual Growth Rate (CAGR)</w:t>
      </w:r>
      <w:r>
        <w:rPr>
          <w:color w:val="000000"/>
        </w:rPr>
        <w:t xml:space="preserve"> </w:t>
      </w:r>
      <w:r>
        <w:rPr>
          <w:rFonts w:ascii="Arial;sans-serif" w:hAnsi="Arial;sans-serif"/>
          <w:b w:val="false"/>
          <w:color w:val="000000"/>
          <w:sz w:val="18"/>
        </w:rPr>
        <w:t>(defined above) is a supplementary financial measure when applied to IFRS Accounting Standard financial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Current ratio</w:t>
      </w:r>
      <w:r>
        <w:rPr>
          <w:color w:val="000000"/>
        </w:rPr>
        <w:t xml:space="preserve"> </w:t>
      </w:r>
      <w:r>
        <w:rPr>
          <w:rFonts w:ascii="Arial;sans-serif" w:hAnsi="Arial;sans-serif"/>
          <w:b w:val="false"/>
          <w:color w:val="000000"/>
          <w:sz w:val="18"/>
        </w:rPr>
        <w:t>is a supplementary financial measure calculated by dividing current assets by current liabilities that we use in assessing overall liquidity.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Working capital</w:t>
      </w:r>
      <w:r>
        <w:rPr>
          <w:color w:val="000000"/>
        </w:rPr>
        <w:t xml:space="preserve"> </w:t>
      </w:r>
      <w:r>
        <w:rPr>
          <w:rFonts w:ascii="Arial;sans-serif" w:hAnsi="Arial;sans-serif"/>
          <w:b w:val="false"/>
          <w:color w:val="000000"/>
          <w:sz w:val="18"/>
        </w:rPr>
        <w:t>is a supplementary financial measure that we use as a measure for assessing overall liquidity. It is calculated by subtracting current liabilities from 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u w:val="single"/>
        </w:rPr>
      </w:pPr>
      <w:r>
        <w:rPr>
          <w:rFonts w:ascii="Arial;sans-serif" w:hAnsi="Arial;sans-serif"/>
          <w:b/>
          <w:i/>
          <w:color w:val="000000"/>
          <w:sz w:val="18"/>
          <w:u w:val="single"/>
        </w:rPr>
        <w:t>Capital Management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debt and total capital managed are categorized as capital management measures and quantified on page M-14.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Additional Reconciliation of Non-IFRS Financial Measure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 xml:space="preserve">Free Cash Flow </w:t>
      </w:r>
    </w:p>
    <w:p>
      <w:pPr>
        <w:pStyle w:val="TextBody"/>
        <w:bidi w:val="0"/>
        <w:spacing w:before="0" w:after="0"/>
        <w:jc w:val="left"/>
        <w:rPr/>
      </w:pPr>
      <w:r>
        <w:rPr/>
      </w:r>
    </w:p>
    <w:tbl>
      <w:tblPr>
        <w:tblW w:w="8377" w:type="dxa"/>
        <w:jc w:val="left"/>
        <w:tblInd w:w="0" w:type="dxa"/>
        <w:tblLayout w:type="fixed"/>
        <w:tblCellMar>
          <w:top w:w="28" w:type="dxa"/>
          <w:left w:w="28" w:type="dxa"/>
          <w:bottom w:w="28" w:type="dxa"/>
          <w:right w:w="28" w:type="dxa"/>
        </w:tblCellMar>
      </w:tblPr>
      <w:tblGrid>
        <w:gridCol w:w="2225"/>
        <w:gridCol w:w="1958"/>
        <w:gridCol w:w="1967"/>
        <w:gridCol w:w="327"/>
        <w:gridCol w:w="327"/>
        <w:gridCol w:w="327"/>
        <w:gridCol w:w="327"/>
        <w:gridCol w:w="327"/>
        <w:gridCol w:w="329"/>
        <w:gridCol w:w="109"/>
        <w:gridCol w:w="154"/>
      </w:tblGrid>
      <w:tr>
        <w:trPr/>
        <w:tc>
          <w:tcPr>
            <w:tcW w:w="222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Quarter Ended Mar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98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flows (used in) from operating activities</w:t>
            </w:r>
          </w:p>
        </w:tc>
        <w:tc>
          <w:tcPr>
            <w:tcW w:w="65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2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capital expenditures (property and equipment and intangible assets)</w:t>
            </w:r>
          </w:p>
        </w:tc>
        <w:tc>
          <w:tcPr>
            <w:tcW w:w="65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32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lease payments</w:t>
            </w:r>
          </w:p>
        </w:tc>
        <w:tc>
          <w:tcPr>
            <w:tcW w:w="65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32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Free cash flow (note)</w:t>
            </w:r>
          </w:p>
        </w:tc>
        <w:tc>
          <w:tcPr>
            <w:tcW w:w="65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(65.7)</w:t>
            </w:r>
          </w:p>
        </w:tc>
        <w:tc>
          <w:tcPr>
            <w:tcW w:w="327"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3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 See the Definitions section for a discussion of free cash flow, a non-IFRS measure.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Controls and Procedures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CEO and CFO evaluated our disclosure controls and procedures (defined in the US Securities Exchange Act Rules 13a–15(e) and 15d–15(e) and as defined in Canada by National Instrument 52-109) as of the end of the period covered by this quarterly report. Based on the evaluation, our CEO and CFO concluded that our disclosure controls and procedures were effective at such date.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has been no change in our internal control over financial reporting identified in connection with the evaluation required by paragraph (d) of Rules 13a–15 or 15d–15 under the Securities Exchange Act of 1934 that occurred during our last fiscal quarter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21995"/>
                <wp:effectExtent l="0" t="0" r="0" b="0"/>
                <wp:wrapNone/>
                <wp:docPr id="20" name="Frame20"/>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Risk Factors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quarter ended March 31, 2026, there has not been a significant change in our risk factors from those described in our 2025 Annual Report (incorporated herein by reference). We continue to closely monitor the military conflict in the Middle East, as Stantec has projects in the region and offices in Bahrain, Qatar, Saudi Arabia, and United Arab Emirates, and are implementing measures to mitigate workforce disruptions. We cannot provide assurance that these measures will be effective.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noted in our 2025 Annual Report, international tensions and military conflicts may lead to adverse impacts including political and macroeconomic uncertainty, supply chain issues, market volatility, decreased public spending and slowing growth forecasts, workforce disruptions, an increased risk of cyberattacks, project delays or cancellations, and additional costs in assessing security risks and implementing security plans. The duration and scale of military conflicts are outside of our control and may have a cascading impact on the global economy, which may affect our results of operations, cash flows, and backlog.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pPr>
      <w:r>
        <w:rPr>
          <w:rFonts w:ascii="Amasis MT Pro;serif" w:hAnsi="Amasis MT Pro;serif"/>
          <w:b w:val="false"/>
          <w:color w:val="000000"/>
          <w:sz w:val="28"/>
        </w:rPr>
        <w:t>Subsequent Even</w:t>
      </w:r>
      <w:r>
        <w:rPr>
          <w:rFonts w:ascii="Amasis MT Pro;serif" w:hAnsi="Amasis MT Pro;serif"/>
          <w:b w:val="false"/>
          <w:color w:val="000000"/>
          <w:sz w:val="28"/>
          <w:shd w:fill="FFFFFF" w:val="clear"/>
        </w:rPr>
        <w:t>ts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UK pension scheme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April 2026, we entered into a bulk annuity policy for another section of the UK pension scheme. Future cash flows from this bulk annuity will match the amount and timing of certain benefits payable under the scheme. The bulk annuity does not extinguish the Company's risks and obligations under the plan. </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May 13, 2026, our Board of Directors declared a dividend of $0.245 per share, payable on July 15, 2026, to shareholders of record on June 30, 2026.</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Caution Regarding Forward-Looking Statements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public communications often include written or verbal forward-looking statements or forward-looking information within the meaning of the US Private Securities Litigation Reform Act and Canadian securities laws (forward-looking statements). Forward-looking statements are disclosures regarding possible events, conditions, or results of operations that are based on assumptions about future economic conditions or courses of action and include financial outlooks or future-oriented financial information. Any financial outlook or future-oriented financial information in this MD&amp;A has been approved by management of Stantec. Such financial outlook or future-oriented financial information is provided for the purpose of providing information about management’s current expectations and plans relating to the future and may not be appropriate for other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Forward-looking statements may involve but are not limited to comments with respect to our objectives for 2026 and beyond, our strategies or future actions, our targets, our expectations for our financial condition or share price, or the results of or outlook for our operations. Statements of this type may be contained in filings with securities regulators or in other communications and are contained in this MD&amp;A. Forward-looking statements in this MD&amp;A include but are not limited to the following: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Our expectations in our Outlook section to address our targets and expectations for 2026: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8"/>
        </w:rPr>
        <w:t>Our belief that opportunities arising from aging infrastructure and urbanization, climate change and the need for resilience to extreme weather events, future technologies and associated energy requirements, advanced manufacturing, and resource security continue to drive growth in demand for our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Public sector spending will continue in alignment with currently announced programs and legislation, as well as increasing confidence and activity in the private sector;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Net revenue growth of 8.5% to 11.5%, with organic net revenue growth in the mid- to high-single digits;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Organic growth in Canada, US and Global regions in the mid- to high- single digits;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21995"/>
                <wp:effectExtent l="0" t="0" r="0" b="0"/>
                <wp:wrapNone/>
                <wp:docPr id="21" name="Frame21"/>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EBITDA margin in the range of 17.6% to 18.2%, reflecting strong project margins resulting from solid project execution, as well as continued discipline and enhanced strategies in the management of administration and marketing costs, including expanding the use of our high value centers, optimizing digital strategies, and increased efficiencies from improving scale in certain geographies: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EBITDA margin in Q1 and Q4 2026 is expected to be near or below the low end of this range due to normal seasonal factors in the northern hemisphere, offset by margins moving to the higher end of the range, or above, in Q2 and Q3 of 2026 as seasonal activities increase;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net income as a percentage of net revenue at or above 9.5%;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EPS growth in the range of 15% to 18%;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ROIC expected to be above 13%;</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expectations regarding our sources of cash and our ability to meet our normal operating and capital expenditures in the Capital Management and Liquidity and Capital Resources section;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belief that internally generated cash flows, supplemented by borrowings, if necessary, will be sufficient to cover our normal operating and capital expenditures;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belief we have sufficient liquidity to meet our contractual obligations;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Our expectations in the Critical Accounting Developments, Estimates, and Measures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describe the management expectations and targets by which we measure our success and assist our shareholders in understanding our financial position as at and for the periods ended on the dates presented in this MD&amp;A. Readers are cautioned that this information may not be appropriate for other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By their nature, forward-looking statements require us to make assumptions and are subject to inherent risks and uncertainties. There is a significant risk that predictions, forecasts, conclusions, projections, and other forward-looking statements will not prove to be accurate. We caution readers of this MD&amp;A not to place undue reliance on our forward-looking statements since a number of factors could cause actual future results, conditions, actions, or events to differ materially from the targets, expectations, estimates, or intentions expressed in these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Future outcomes relating to forward-looking statements may be influenced by many factors and material risks. For the quarter ended March 31, 2026, there has been no significant change in our risk factors from those described in our 2025 Annual Report (incorporated herein by reference).</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Assumptions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determining our forward-looking statements, we consider material factors including assumptions about the performance of the Canadian, US, and global economies in 2026 and their effect on our business. The material factors and assumptions used to support our 2026 outlook included on M-5 are set forth below:</w:t>
      </w:r>
    </w:p>
    <w:p>
      <w:pPr>
        <w:pStyle w:val="TextBody"/>
        <w:bidi w:val="0"/>
        <w:spacing w:before="0" w:after="0"/>
        <w:jc w:val="left"/>
        <w:rPr/>
      </w:pPr>
      <w:r>
        <w:rPr/>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Our March 2026 outlook forecast assumed an average value for the US dollar of $1.36, GBP $1.85, and AU of $0.95, which is consistent with the outlook provided in our 2025 Annual Report, with the exception of AUD which has been revised from $0.90.</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overnight interest rate target is currently 2.25% in Canada, 3.64% in the US, and 3.75% in the UK, while the assumptions included in the 2025 Annual Report reflected rates of 2.25% in Canada, 3.65% in the US, and 3.73% in the UK. The Company’s fixed rate senior unsecured notes are expected to partially offset changes in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effective income tax rate, without discrete transactions, is expected to be approximately 23% to 25% and was considered based on the tax rates in place as of December 31, 2025, as well as our mix of expected earnings for the countries we operate in.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As of March 2026, Canada's GDP is expected to grow by 1.3% compared to 1.5% at December 2025, the US is projected to see a growth rate of 2.4% compared to 2.2% at December 2025, the UK is projected to see a growth rate of 0.8% compared to 1.3% at December 2025, and Australia is projected to see a growth rate of 1.8% compared to 2.0% at December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 Canada, the 2025 Annual Report assumed that the number of total housing starts would decrease in 2026 by 0.8%. As of March 2026, the number of total housing starts in Canada is forecasted to decrease in 2026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21995"/>
                <wp:effectExtent l="0" t="0" r="0" b="0"/>
                <wp:wrapNone/>
                <wp:docPr id="22" name="Frame22"/>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by 4.6% compared to 2025. In the United States, the forecasted seasonally adjusted annual rate of total housing starts for 2026 is 1.33 million, a 1.8% decrease compared to 2025, updated from the assumed total housing starts of 1.34 million, a 0.1% decrease compared to 2025, included in the 2025 Annual Report.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American Institute of Architects ABI (architectural billing index) has increased to 49.8 as of March 2026 from 48.5 at the end of 2025, reflecting a slight improvement, however architectural billings are still soft.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The U.S. EIA expects oil prices for 2026 to increase sharply from 2025 levels, and metals and mineral prices for 2026 are expected to slightly decrease from currents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Management expects to support our targeted level of growth using a combination of cash flows from operations and borrowings.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preceding list of factors is not exhaustive. Investors and the public should carefully consider these factors, other uncertainties and potential events, and the inherent uncertainty of forward-looking statements when relying on these statements to make decisions with respect to our Company. The forward-looking statements contained herein represent our expectations as of </w:t>
      </w:r>
      <w:r>
        <w:rPr>
          <w:rFonts w:ascii="Arial;sans-serif" w:hAnsi="Arial;sans-serif"/>
          <w:b w:val="false"/>
          <w:color w:val="000000"/>
          <w:sz w:val="18"/>
          <w:shd w:fill="FFFFFF" w:val="clear"/>
        </w:rPr>
        <w:t xml:space="preserve">May 13, 2026, </w:t>
      </w:r>
      <w:r>
        <w:rPr>
          <w:rFonts w:ascii="Arial;sans-serif" w:hAnsi="Arial;sans-serif"/>
          <w:b w:val="false"/>
          <w:color w:val="000000"/>
          <w:sz w:val="18"/>
        </w:rPr>
        <w:t>and, accordingly, are subject to change after such date. Except as may be required by law, we do not undertake to update any forward-looking statement, whether written or verbal, that may be made from time to time. In the case of the ranges of expected performance for fiscal year</w:t>
      </w:r>
      <w:r>
        <w:rPr>
          <w:color w:val="000000"/>
          <w:shd w:fill="FFFFFF" w:val="clear"/>
        </w:rPr>
        <w:t xml:space="preserve"> </w:t>
      </w:r>
      <w:r>
        <w:rPr>
          <w:rFonts w:ascii="Arial;sans-serif" w:hAnsi="Arial;sans-serif"/>
          <w:b w:val="false"/>
          <w:color w:val="000000"/>
          <w:sz w:val="18"/>
          <w:shd w:fill="FFFFFF" w:val="clear"/>
        </w:rPr>
        <w:t xml:space="preserve">2026, </w:t>
      </w:r>
      <w:r>
        <w:rPr>
          <w:rFonts w:ascii="Arial;sans-serif" w:hAnsi="Arial;sans-serif"/>
          <w:b w:val="false"/>
          <w:color w:val="000000"/>
          <w:sz w:val="18"/>
        </w:rPr>
        <w:t>it is our current practice to evaluate and, where we deem appropriate, to provide updates. However, subject to legal requirements, we may change this practice at any time at our sole discretion.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21995"/>
                <wp:effectExtent l="0" t="0" r="0" b="0"/>
                <wp:wrapNone/>
                <wp:docPr id="23" name="Frame23"/>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March 31,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18"/>
        </w:rPr>
        <w:t xml:space="preserve">Exhibit 99.2 - Stantec Inc.'s </w:t>
      </w:r>
      <w:r>
        <w:rPr>
          <w:rFonts w:ascii="Arial;sans-serif" w:hAnsi="Arial;sans-serif"/>
          <w:b w:val="false"/>
          <w:color w:val="000000"/>
          <w:sz w:val="18"/>
        </w:rPr>
        <w:t>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Financial Position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6095" w:type="dxa"/>
        <w:jc w:val="left"/>
        <w:tblInd w:w="0" w:type="dxa"/>
        <w:tblLayout w:type="fixed"/>
        <w:tblCellMar>
          <w:top w:w="28" w:type="dxa"/>
          <w:left w:w="28" w:type="dxa"/>
          <w:bottom w:w="28" w:type="dxa"/>
          <w:right w:w="28" w:type="dxa"/>
        </w:tblCellMar>
      </w:tblPr>
      <w:tblGrid>
        <w:gridCol w:w="1134"/>
        <w:gridCol w:w="998"/>
        <w:gridCol w:w="1002"/>
        <w:gridCol w:w="180"/>
        <w:gridCol w:w="180"/>
        <w:gridCol w:w="181"/>
        <w:gridCol w:w="389"/>
        <w:gridCol w:w="392"/>
        <w:gridCol w:w="316"/>
        <w:gridCol w:w="400"/>
        <w:gridCol w:w="381"/>
        <w:gridCol w:w="542"/>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31,</w:t>
              <w:br/>
              <w:t>2026</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10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3a</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357.7</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and other receivables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1,348.8</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Unbilled receivables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794.8</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761.6 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132.0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recoverable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118.0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100.8</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18.2</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assets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2,870.3</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2,790.8 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312.3</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563.8</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5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3,270.5</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3,221.8 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5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561.2</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asset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88.1</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116.1</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262.4</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8,044.7</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EQUITY</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Bank indebtedness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17.5</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and other payables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3a</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1,017.3</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1,125.3 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106.7</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572.0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36.3</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6,11</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265.5</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57.5</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2,132.8</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2,266.0 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621.0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6,11</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1,577.3</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1,527.3 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187.3</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liability</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72.0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4,669.3</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4,716.5 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3,375.4</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8,044.7</w:t>
            </w:r>
            <w:r>
              <w:rPr>
                <w:color w:val="000000"/>
              </w:rPr>
              <w:t> </w:t>
            </w:r>
          </w:p>
        </w:tc>
        <w:tc>
          <w:tcPr>
            <w:tcW w:w="31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9140"/>
                <wp:effectExtent l="0" t="0" r="0" b="0"/>
                <wp:wrapNone/>
                <wp:docPr id="24"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9960" w:type="dxa"/>
        <w:jc w:val="left"/>
        <w:tblInd w:w="0" w:type="dxa"/>
        <w:tblLayout w:type="fixed"/>
        <w:tblCellMar>
          <w:top w:w="28" w:type="dxa"/>
          <w:left w:w="28" w:type="dxa"/>
          <w:bottom w:w="28" w:type="dxa"/>
          <w:right w:w="28" w:type="dxa"/>
        </w:tblCellMar>
      </w:tblPr>
      <w:tblGrid>
        <w:gridCol w:w="2040"/>
        <w:gridCol w:w="1795"/>
        <w:gridCol w:w="1805"/>
        <w:gridCol w:w="214"/>
        <w:gridCol w:w="214"/>
        <w:gridCol w:w="218"/>
        <w:gridCol w:w="109"/>
        <w:gridCol w:w="466"/>
        <w:gridCol w:w="716"/>
        <w:gridCol w:w="485"/>
        <w:gridCol w:w="475"/>
        <w:gridCol w:w="593"/>
        <w:gridCol w:w="593"/>
        <w:gridCol w:w="237"/>
      </w:tblGrid>
      <w:tr>
        <w:trPr/>
        <w:tc>
          <w:tcPr>
            <w:tcW w:w="204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2"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1423" w:type="dxa"/>
            <w:gridSpan w:val="3"/>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4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w:t>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2,067.7</w:t>
            </w:r>
            <w:r>
              <w:rPr>
                <w:color w:val="000000"/>
              </w:rPr>
              <w:t> </w:t>
            </w:r>
          </w:p>
        </w:tc>
        <w:tc>
          <w:tcPr>
            <w:tcW w:w="4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subconsultant and other direct expenses</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373.4</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370.6 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1,694.3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780.2</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914.1</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Administrative and marketing expenses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9,11,12</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648.3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property and equipment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17.7</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lease assets</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34.5</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42.6</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expense and other net finance expense</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24.1</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expense</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Income before income taxes </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146.6</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taxes</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34.5</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income taxes</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35.8</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for the period</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110.8</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outstanding - basic and diluted</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114,066,995</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outstanding, end of the period</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114,066,995</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Earnings per share - basic and diluted</w:t>
            </w:r>
          </w:p>
        </w:tc>
        <w:tc>
          <w:tcPr>
            <w:tcW w:w="6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0.97</w:t>
            </w:r>
            <w:r>
              <w:rPr>
                <w:color w:val="000000"/>
              </w:rPr>
              <w:t> </w:t>
            </w:r>
          </w:p>
        </w:tc>
        <w:tc>
          <w:tcPr>
            <w:tcW w:w="475"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23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25"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 xml:space="preserve">Interim Condensed Consolidated Statements </w:t>
        <w:br/>
        <w:t>of Comprehensive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8941" w:type="dxa"/>
        <w:jc w:val="left"/>
        <w:tblInd w:w="0" w:type="dxa"/>
        <w:tblLayout w:type="fixed"/>
        <w:tblCellMar>
          <w:top w:w="28" w:type="dxa"/>
          <w:left w:w="28" w:type="dxa"/>
          <w:bottom w:w="28" w:type="dxa"/>
          <w:right w:w="28" w:type="dxa"/>
        </w:tblCellMar>
      </w:tblPr>
      <w:tblGrid>
        <w:gridCol w:w="2014"/>
        <w:gridCol w:w="1771"/>
        <w:gridCol w:w="1780"/>
        <w:gridCol w:w="180"/>
        <w:gridCol w:w="180"/>
        <w:gridCol w:w="181"/>
        <w:gridCol w:w="109"/>
        <w:gridCol w:w="466"/>
        <w:gridCol w:w="466"/>
        <w:gridCol w:w="466"/>
        <w:gridCol w:w="475"/>
        <w:gridCol w:w="308"/>
        <w:gridCol w:w="308"/>
        <w:gridCol w:w="237"/>
      </w:tblGrid>
      <w:tr>
        <w:trPr/>
        <w:tc>
          <w:tcPr>
            <w:tcW w:w="201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853" w:type="dxa"/>
            <w:gridSpan w:val="3"/>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8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for the period</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110.8</w:t>
            </w:r>
            <w:r>
              <w:rPr>
                <w:color w:val="000000"/>
              </w:rPr>
              <w:t> </w:t>
            </w:r>
          </w:p>
        </w:tc>
        <w:tc>
          <w:tcPr>
            <w:tcW w:w="4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Items that may be reclassified to net income in subsequent periods: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Exchange differences on translation of foreign operations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55.4</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unrealized (loss) gain on financial instruments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5,11</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Other comprehensive income for the period, net of tax</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52.1</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comprehensive income for the period, net of tax</w:t>
            </w:r>
          </w:p>
        </w:tc>
        <w:tc>
          <w:tcPr>
            <w:tcW w:w="5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162.9</w:t>
            </w:r>
            <w:r>
              <w:rPr>
                <w:color w:val="000000"/>
              </w:rPr>
              <w:t> </w:t>
            </w:r>
          </w:p>
        </w:tc>
        <w:tc>
          <w:tcPr>
            <w:tcW w:w="475"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23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9140"/>
                <wp:effectExtent l="0" t="0" r="0" b="0"/>
                <wp:wrapNone/>
                <wp:docPr id="26"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Shareholders’ Equity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064"/>
        <w:gridCol w:w="814"/>
        <w:gridCol w:w="817"/>
        <w:gridCol w:w="600"/>
        <w:gridCol w:w="601"/>
        <w:gridCol w:w="381"/>
        <w:gridCol w:w="390"/>
        <w:gridCol w:w="391"/>
        <w:gridCol w:w="236"/>
        <w:gridCol w:w="370"/>
        <w:gridCol w:w="370"/>
        <w:gridCol w:w="371"/>
        <w:gridCol w:w="390"/>
        <w:gridCol w:w="391"/>
        <w:gridCol w:w="291"/>
        <w:gridCol w:w="568"/>
        <w:gridCol w:w="568"/>
        <w:gridCol w:w="570"/>
        <w:gridCol w:w="390"/>
        <w:gridCol w:w="391"/>
        <w:gridCol w:w="241"/>
      </w:tblGrid>
      <w:tr>
        <w:trPr/>
        <w:tc>
          <w:tcPr>
            <w:tcW w:w="10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Shares</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Outstanding</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 9)</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Share</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Capital</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Contributed</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Surplus</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Retained</w:t>
              <w:br/>
              <w:t>Earnings</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Accumulated Other</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Comprehensive</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Income</w:t>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shares)</w:t>
            </w:r>
          </w:p>
        </w:tc>
        <w:tc>
          <w:tcPr>
            <w:tcW w:w="15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r>
      <w:tr>
        <w:trPr/>
        <w:tc>
          <w:tcPr>
            <w:tcW w:w="2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December 31, 2024</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1,271.3 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1,370.4 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297.9 </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5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2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March 31, 2025</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1,271.3 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1,444.8 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317.7 </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December 31, 2025</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1,271.3 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1,747.0 </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57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57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29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57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24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Dividends declared (note 9)</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March 31, 2026</w:t>
            </w:r>
          </w:p>
        </w:tc>
        <w:tc>
          <w:tcPr>
            <w:tcW w:w="120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114,066,995</w:t>
            </w:r>
            <w:r>
              <w:rPr>
                <w:color w:val="000000"/>
              </w:rPr>
              <w:t> </w:t>
            </w:r>
          </w:p>
        </w:tc>
        <w:tc>
          <w:tcPr>
            <w:tcW w:w="38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1,271.3</w:t>
            </w:r>
            <w:r>
              <w:rPr>
                <w:color w:val="000000"/>
              </w:rPr>
              <w:t> </w:t>
            </w:r>
          </w:p>
        </w:tc>
        <w:tc>
          <w:tcPr>
            <w:tcW w:w="23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w:t>
            </w:r>
            <w:r>
              <w:rPr>
                <w:color w:val="000000"/>
              </w:rPr>
              <w:t> </w:t>
            </w:r>
          </w:p>
        </w:tc>
        <w:tc>
          <w:tcPr>
            <w:tcW w:w="37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1,829.9</w:t>
            </w:r>
            <w:r>
              <w:rPr>
                <w:color w:val="000000"/>
              </w:rPr>
              <w:t> </w:t>
            </w:r>
          </w:p>
        </w:tc>
        <w:tc>
          <w:tcPr>
            <w:tcW w:w="29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268.7</w:t>
            </w:r>
            <w:r>
              <w:rPr>
                <w:color w:val="000000"/>
              </w:rPr>
              <w:t> </w:t>
            </w:r>
          </w:p>
        </w:tc>
        <w:tc>
          <w:tcPr>
            <w:tcW w:w="570"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3,375.4</w:t>
            </w:r>
            <w:r>
              <w:rPr>
                <w:color w:val="000000"/>
              </w:rPr>
              <w:t> </w:t>
            </w:r>
          </w:p>
        </w:tc>
        <w:tc>
          <w:tcPr>
            <w:tcW w:w="24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9140"/>
                <wp:effectExtent l="0" t="0" r="0" b="0"/>
                <wp:wrapNone/>
                <wp:docPr id="27"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9016" w:type="dxa"/>
        <w:jc w:val="left"/>
        <w:tblInd w:w="0" w:type="dxa"/>
        <w:tblLayout w:type="fixed"/>
        <w:tblCellMar>
          <w:top w:w="28" w:type="dxa"/>
          <w:left w:w="28" w:type="dxa"/>
          <w:bottom w:w="28" w:type="dxa"/>
          <w:right w:w="28" w:type="dxa"/>
        </w:tblCellMar>
      </w:tblPr>
      <w:tblGrid>
        <w:gridCol w:w="1923"/>
        <w:gridCol w:w="1690"/>
        <w:gridCol w:w="1697"/>
        <w:gridCol w:w="180"/>
        <w:gridCol w:w="180"/>
        <w:gridCol w:w="181"/>
        <w:gridCol w:w="109"/>
        <w:gridCol w:w="531"/>
        <w:gridCol w:w="531"/>
        <w:gridCol w:w="531"/>
        <w:gridCol w:w="536"/>
        <w:gridCol w:w="344"/>
        <w:gridCol w:w="346"/>
        <w:gridCol w:w="237"/>
      </w:tblGrid>
      <w:tr>
        <w:trPr/>
        <w:tc>
          <w:tcPr>
            <w:tcW w:w="192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gridSpan w:val="4"/>
            <w:tcBorders/>
            <w:tcMar>
              <w:top w:w="0" w:type="dxa"/>
              <w:left w:w="0" w:type="dxa"/>
              <w:bottom w:w="0" w:type="dxa"/>
              <w:right w:w="0" w:type="dxa"/>
            </w:tcMar>
            <w:vAlign w:val="center"/>
          </w:tcPr>
          <w:p>
            <w:pPr>
              <w:pStyle w:val="TableContents"/>
              <w:bidi w:val="0"/>
              <w:spacing w:before="0" w:after="283"/>
              <w:jc w:val="center"/>
              <w:rPr/>
            </w:pPr>
            <w:r>
              <w:rPr/>
              <w:t>For the quarter ended</w:t>
              <w:br/>
              <w:t>March 31,</w:t>
            </w:r>
          </w:p>
        </w:tc>
        <w:tc>
          <w:tcPr>
            <w:tcW w:w="927"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110.8</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(deduct) items not affecting cash:</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of property and equipment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17.7</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of lease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34.5</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42.6</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14.1</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23.5</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10.3</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253.5</w:t>
            </w:r>
            <w:r>
              <w:rPr>
                <w:color w:val="000000"/>
              </w:rPr>
              <w:t> </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and other receivables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(33.2)</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138.4 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Unbilled receivables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(34.6)</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(20.8)</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(34.2)</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net recoverable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20.4</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and other payables and other accruals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(144.7)</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(8.7)</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(255.8)</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Net cash flows (used in) from operating activities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(2.3)</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investments held for self-insured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(48.4)</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investments held for self-insured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72.9</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property and equipment and intangible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(21.5)</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0.4</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Net cash flows from (used in) investing activities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w:t>
            </w:r>
            <w:r>
              <w:rPr>
                <w:color w:val="000000"/>
              </w:rPr>
              <w:t> </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proceeds from revolving credit facility</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74.0</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notes payable and other financing obligations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(57.5)</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repayment of bank indebtedness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(12.1)</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lease payments</w:t>
            </w:r>
          </w:p>
        </w:tc>
        <w:tc>
          <w:tcPr>
            <w:tcW w:w="5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(41.9)</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dividends to shareholders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(25.7)</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Net cash flows used in financing activities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(63.2)</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Foreign exchange gain on cash held in foreign currency</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8.7</w:t>
            </w:r>
            <w:r>
              <w:rPr>
                <w:color w:val="000000"/>
              </w:rPr>
              <w:t> </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Net (decrease) increase in cash and cash equivalents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(53.4)</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Cash and cash equivalents, December 31, 2025 as originally presented</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398.1</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Impact of change in accounting policy on January 1, 2026</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3a</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13.0</w:t>
            </w:r>
            <w:r>
              <w:rPr>
                <w:color w:val="000000"/>
              </w:rPr>
              <w:t> </w:t>
            </w:r>
          </w:p>
        </w:tc>
        <w:tc>
          <w:tcPr>
            <w:tcW w:w="5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Revised cash and cash equivalents, beginning of the period</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411.1</w:t>
            </w:r>
            <w:r>
              <w:rPr>
                <w:color w:val="000000"/>
              </w:rPr>
              <w:t> </w:t>
            </w:r>
          </w:p>
        </w:tc>
        <w:tc>
          <w:tcPr>
            <w:tcW w:w="5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228.5 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end of the period</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357.7</w:t>
            </w:r>
            <w:r>
              <w:rPr>
                <w:color w:val="000000"/>
              </w:rPr>
              <w:t> </w:t>
            </w:r>
          </w:p>
        </w:tc>
        <w:tc>
          <w:tcPr>
            <w:tcW w:w="53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254.0 </w:t>
            </w:r>
          </w:p>
        </w:tc>
        <w:tc>
          <w:tcPr>
            <w:tcW w:w="23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28"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before="60" w:after="120"/>
        <w:jc w:val="left"/>
        <w:rPr/>
      </w:pPr>
      <w:r>
        <w:rPr/>
      </w:r>
    </w:p>
    <w:tbl>
      <w:tblPr>
        <w:tblW w:w="10205" w:type="dxa"/>
        <w:jc w:val="left"/>
        <w:tblInd w:w="0" w:type="dxa"/>
        <w:tblLayout w:type="fixed"/>
        <w:tblCellMar>
          <w:top w:w="28" w:type="dxa"/>
          <w:left w:w="28" w:type="dxa"/>
          <w:bottom w:w="28" w:type="dxa"/>
          <w:right w:w="28" w:type="dxa"/>
        </w:tblCellMar>
      </w:tblPr>
      <w:tblGrid>
        <w:gridCol w:w="1737"/>
        <w:gridCol w:w="1529"/>
        <w:gridCol w:w="1533"/>
        <w:gridCol w:w="165"/>
        <w:gridCol w:w="165"/>
        <w:gridCol w:w="166"/>
        <w:gridCol w:w="109"/>
        <w:gridCol w:w="109"/>
        <w:gridCol w:w="109"/>
        <w:gridCol w:w="1389"/>
        <w:gridCol w:w="1344"/>
        <w:gridCol w:w="1261"/>
        <w:gridCol w:w="171"/>
        <w:gridCol w:w="171"/>
        <w:gridCol w:w="247"/>
      </w:tblGrid>
      <w:tr>
        <w:trPr/>
        <w:tc>
          <w:tcPr>
            <w:tcW w:w="173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7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Index to the Notes to the Unaudited Interim Condensed Consolidated Financial Statements</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Page</w:t>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267188cd624d6fb6a52c5d4bb86f27_80_80">
              <w:r>
                <w:rPr>
                  <w:rStyle w:val="InternetLink"/>
                  <w:rFonts w:ascii="Arial;sans-serif" w:hAnsi="Arial;sans-serif"/>
                  <w:b w:val="false"/>
                  <w:strike w:val="false"/>
                  <w:dstrike w:val="false"/>
                  <w:color w:val="000000"/>
                  <w:sz w:val="18"/>
                  <w:u w:val="none"/>
                  <w:effect w:val="non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25">
              <w:r>
                <w:rPr>
                  <w:rStyle w:val="InternetLink"/>
                  <w:rFonts w:ascii="Arial;sans-serif" w:hAnsi="Arial;sans-serif"/>
                  <w:b w:val="false"/>
                  <w:strike w:val="false"/>
                  <w:dstrike w:val="false"/>
                  <w:color w:val="000000"/>
                  <w:sz w:val="18"/>
                  <w:u w:val="none"/>
                  <w:effect w:val="none"/>
                </w:rPr>
                <w:t>Corporate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25">
              <w:r>
                <w:rPr>
                  <w:rStyle w:val="InternetLink"/>
                  <w:rFonts w:ascii="Arial;sans-serif" w:hAnsi="Arial;sans-serif"/>
                  <w:b w:val="false"/>
                  <w:strike w:val="false"/>
                  <w:dstrike w:val="false"/>
                  <w:color w:val="000000"/>
                  <w:sz w:val="18"/>
                  <w:u w:val="none"/>
                  <w:effect w:val="none"/>
                </w:rPr>
                <w:t>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940ab9ee41f45a88aaabb89408c278e_2_2">
              <w:r>
                <w:rPr>
                  <w:rStyle w:val="InternetLink"/>
                  <w:rFonts w:ascii="Arial;sans-serif" w:hAnsi="Arial;sans-serif"/>
                  <w:b w:val="false"/>
                  <w:strike w:val="false"/>
                  <w:dstrike w:val="false"/>
                  <w:color w:val="000000"/>
                  <w:sz w:val="18"/>
                  <w:u w:val="none"/>
                  <w:effect w:val="non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28">
              <w:r>
                <w:rPr>
                  <w:rStyle w:val="InternetLink"/>
                  <w:rFonts w:ascii="Arial;sans-serif" w:hAnsi="Arial;sans-serif"/>
                  <w:b w:val="false"/>
                  <w:strike w:val="false"/>
                  <w:dstrike w:val="false"/>
                  <w:color w:val="000000"/>
                  <w:sz w:val="18"/>
                  <w:u w:val="none"/>
                  <w:effect w:val="none"/>
                </w:rPr>
                <w:t>Basis of Preparation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28">
              <w:r>
                <w:rPr>
                  <w:rStyle w:val="InternetLink"/>
                  <w:rFonts w:ascii="Arial;sans-serif" w:hAnsi="Arial;sans-serif"/>
                  <w:b w:val="false"/>
                  <w:strike w:val="false"/>
                  <w:dstrike w:val="false"/>
                  <w:color w:val="000000"/>
                  <w:sz w:val="18"/>
                  <w:u w:val="none"/>
                  <w:effect w:val="none"/>
                </w:rPr>
                <w:t>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83791770994a358711460b65c3c961_2_2">
              <w:r>
                <w:rPr>
                  <w:rStyle w:val="InternetLink"/>
                  <w:rFonts w:ascii="Arial;sans-serif" w:hAnsi="Arial;sans-serif"/>
                  <w:b w:val="false"/>
                  <w:strike w:val="false"/>
                  <w:dstrike w:val="false"/>
                  <w:color w:val="000000"/>
                  <w:sz w:val="18"/>
                  <w:u w:val="none"/>
                  <w:effect w:val="non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31">
              <w:r>
                <w:rPr>
                  <w:rStyle w:val="InternetLink"/>
                  <w:rFonts w:ascii="Arial;sans-serif" w:hAnsi="Arial;sans-serif"/>
                  <w:b w:val="false"/>
                  <w:strike w:val="false"/>
                  <w:dstrike w:val="false"/>
                  <w:color w:val="000000"/>
                  <w:sz w:val="18"/>
                  <w:u w:val="none"/>
                  <w:effect w:val="none"/>
                </w:rPr>
                <w:t>Recent Accounting Pronouncements and Changes to Accounting Policies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31">
              <w:r>
                <w:rPr>
                  <w:rStyle w:val="InternetLink"/>
                  <w:rFonts w:ascii="Arial;sans-serif" w:hAnsi="Arial;sans-serif"/>
                  <w:b w:val="false"/>
                  <w:strike w:val="false"/>
                  <w:dstrike w:val="false"/>
                  <w:color w:val="000000"/>
                  <w:sz w:val="18"/>
                  <w:u w:val="none"/>
                  <w:effect w:val="none"/>
                </w:rPr>
                <w:t>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37">
              <w:r>
                <w:rPr>
                  <w:rStyle w:val="InternetLink"/>
                  <w:rFonts w:ascii="Arial;sans-serif" w:hAnsi="Arial;sans-serif"/>
                  <w:b w:val="false"/>
                  <w:strike w:val="false"/>
                  <w:dstrike w:val="false"/>
                  <w:color w:val="000000"/>
                  <w:sz w:val="18"/>
                  <w:u w:val="none"/>
                  <w:effect w:val="none"/>
                </w:rPr>
                <w:t>Trade and Other Receivables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37">
              <w:r>
                <w:rPr>
                  <w:rStyle w:val="InternetLink"/>
                  <w:rFonts w:ascii="Arial;sans-serif" w:hAnsi="Arial;sans-serif"/>
                  <w:b w:val="false"/>
                  <w:strike w:val="false"/>
                  <w:dstrike w:val="false"/>
                  <w:color w:val="000000"/>
                  <w:sz w:val="18"/>
                  <w:u w:val="none"/>
                  <w:effect w:val="none"/>
                </w:rPr>
                <w:t>8</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43">
              <w:r>
                <w:rPr>
                  <w:rStyle w:val="InternetLink"/>
                  <w:rFonts w:ascii="Arial;sans-serif" w:hAnsi="Arial;sans-serif"/>
                  <w:b w:val="false"/>
                  <w:strike w:val="false"/>
                  <w:dstrike w:val="false"/>
                  <w:color w:val="000000"/>
                  <w:sz w:val="18"/>
                  <w:u w:val="none"/>
                  <w:effect w:val="none"/>
                </w:rPr>
                <w:t>Other Assets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43">
              <w:r>
                <w:rPr>
                  <w:rStyle w:val="InternetLink"/>
                  <w:rFonts w:ascii="Arial;sans-serif" w:hAnsi="Arial;sans-serif"/>
                  <w:b w:val="false"/>
                  <w:strike w:val="false"/>
                  <w:dstrike w:val="false"/>
                  <w:color w:val="000000"/>
                  <w:sz w:val="18"/>
                  <w:u w:val="none"/>
                  <w:effect w:val="none"/>
                </w:rPr>
                <w:t>9</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46">
              <w:r>
                <w:rPr>
                  <w:rStyle w:val="InternetLink"/>
                  <w:rFonts w:ascii="Arial;sans-serif" w:hAnsi="Arial;sans-serif"/>
                  <w:b w:val="false"/>
                  <w:strike w:val="false"/>
                  <w:dstrike w:val="false"/>
                  <w:color w:val="000000"/>
                  <w:sz w:val="18"/>
                  <w:u w:val="none"/>
                  <w:effect w:val="none"/>
                </w:rPr>
                <w:t>Long-Term Debt</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46">
              <w:r>
                <w:rPr>
                  <w:rStyle w:val="InternetLink"/>
                  <w:rFonts w:ascii="Arial;sans-serif" w:hAnsi="Arial;sans-serif"/>
                  <w:b w:val="false"/>
                  <w:strike w:val="false"/>
                  <w:dstrike w:val="false"/>
                  <w:color w:val="000000"/>
                  <w:sz w:val="18"/>
                  <w:u w:val="none"/>
                  <w:effect w:val="none"/>
                </w:rPr>
                <w:t>9</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49">
              <w:r>
                <w:rPr>
                  <w:rStyle w:val="InternetLink"/>
                  <w:rFonts w:ascii="Arial;sans-serif" w:hAnsi="Arial;sans-serif"/>
                  <w:b w:val="false"/>
                  <w:strike w:val="false"/>
                  <w:dstrike w:val="false"/>
                  <w:color w:val="000000"/>
                  <w:sz w:val="18"/>
                  <w:u w:val="none"/>
                  <w:effect w:val="none"/>
                </w:rPr>
                <w:t>Provisions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49">
              <w:r>
                <w:rPr>
                  <w:rStyle w:val="InternetLink"/>
                  <w:rFonts w:ascii="Arial;sans-serif" w:hAnsi="Arial;sans-serif"/>
                  <w:b w:val="false"/>
                  <w:strike w:val="false"/>
                  <w:dstrike w:val="false"/>
                  <w:color w:val="000000"/>
                  <w:sz w:val="18"/>
                  <w:u w:val="none"/>
                  <w:effect w:val="none"/>
                </w:rPr>
                <w:t>11</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52">
              <w:r>
                <w:rPr>
                  <w:rStyle w:val="InternetLink"/>
                  <w:rFonts w:ascii="Arial;sans-serif" w:hAnsi="Arial;sans-serif"/>
                  <w:b w:val="false"/>
                  <w:strike w:val="false"/>
                  <w:dstrike w:val="false"/>
                  <w:color w:val="000000"/>
                  <w:sz w:val="18"/>
                  <w:u w:val="none"/>
                  <w:effect w:val="none"/>
                </w:rPr>
                <w:t>Other Liabilities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52">
              <w:r>
                <w:rPr>
                  <w:rStyle w:val="InternetLink"/>
                  <w:rFonts w:ascii="Arial;sans-serif" w:hAnsi="Arial;sans-serif"/>
                  <w:b w:val="false"/>
                  <w:strike w:val="false"/>
                  <w:dstrike w:val="false"/>
                  <w:color w:val="000000"/>
                  <w:sz w:val="18"/>
                  <w:u w:val="none"/>
                  <w:effect w:val="none"/>
                </w:rPr>
                <w:t>11</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55">
              <w:r>
                <w:rPr>
                  <w:rStyle w:val="InternetLink"/>
                  <w:rFonts w:ascii="Arial;sans-serif" w:hAnsi="Arial;sans-serif"/>
                  <w:b w:val="false"/>
                  <w:strike w:val="false"/>
                  <w:dstrike w:val="false"/>
                  <w:color w:val="000000"/>
                  <w:sz w:val="18"/>
                  <w:u w:val="none"/>
                  <w:effect w:val="none"/>
                </w:rPr>
                <w:t>Share Capital</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55">
              <w:r>
                <w:rPr>
                  <w:rStyle w:val="InternetLink"/>
                  <w:rFonts w:ascii="Arial;sans-serif" w:hAnsi="Arial;sans-serif"/>
                  <w:b w:val="false"/>
                  <w:strike w:val="false"/>
                  <w:dstrike w:val="false"/>
                  <w:color w:val="000000"/>
                  <w:sz w:val="18"/>
                  <w:u w:val="none"/>
                  <w:effect w:val="none"/>
                </w:rPr>
                <w:t>11</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58">
              <w:r>
                <w:rPr>
                  <w:rStyle w:val="InternetLink"/>
                  <w:rFonts w:ascii="Arial;sans-serif" w:hAnsi="Arial;sans-serif"/>
                  <w:b w:val="false"/>
                  <w:strike w:val="false"/>
                  <w:dstrike w:val="false"/>
                  <w:color w:val="000000"/>
                  <w:sz w:val="18"/>
                  <w:u w:val="none"/>
                  <w:effect w:val="none"/>
                </w:rPr>
                <w:t>Fair Value Measurements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58">
              <w:r>
                <w:rPr>
                  <w:rStyle w:val="InternetLink"/>
                  <w:rFonts w:ascii="Arial;sans-serif" w:hAnsi="Arial;sans-serif"/>
                  <w:b w:val="false"/>
                  <w:strike w:val="false"/>
                  <w:dstrike w:val="false"/>
                  <w:color w:val="000000"/>
                  <w:sz w:val="18"/>
                  <w:u w:val="none"/>
                  <w:effect w:val="none"/>
                </w:rPr>
                <w:t>12</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61">
              <w:r>
                <w:rPr>
                  <w:rStyle w:val="InternetLink"/>
                  <w:rFonts w:ascii="Arial;sans-serif" w:hAnsi="Arial;sans-serif"/>
                  <w:b w:val="false"/>
                  <w:strike w:val="false"/>
                  <w:dstrike w:val="false"/>
                  <w:color w:val="000000"/>
                  <w:sz w:val="18"/>
                  <w:u w:val="none"/>
                  <w:effect w:val="none"/>
                </w:rPr>
                <w:t>Financial Instruments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61">
              <w:r>
                <w:rPr>
                  <w:rStyle w:val="InternetLink"/>
                  <w:rFonts w:ascii="Arial;sans-serif" w:hAnsi="Arial;sans-serif"/>
                  <w:b w:val="false"/>
                  <w:strike w:val="false"/>
                  <w:dstrike w:val="false"/>
                  <w:color w:val="000000"/>
                  <w:sz w:val="18"/>
                  <w:u w:val="none"/>
                  <w:effect w:val="none"/>
                </w:rPr>
                <w:t>13</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64">
              <w:r>
                <w:rPr>
                  <w:rStyle w:val="InternetLink"/>
                  <w:rFonts w:ascii="Arial;sans-serif" w:hAnsi="Arial;sans-serif"/>
                  <w:b w:val="false"/>
                  <w:strike w:val="false"/>
                  <w:dstrike w:val="false"/>
                  <w:color w:val="000000"/>
                  <w:sz w:val="18"/>
                  <w:u w:val="none"/>
                  <w:effect w:val="none"/>
                </w:rPr>
                <w:t>Employee Costs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64">
              <w:r>
                <w:rPr>
                  <w:rStyle w:val="InternetLink"/>
                  <w:rFonts w:ascii="Arial;sans-serif" w:hAnsi="Arial;sans-serif"/>
                  <w:b w:val="false"/>
                  <w:strike w:val="false"/>
                  <w:dstrike w:val="false"/>
                  <w:color w:val="000000"/>
                  <w:sz w:val="18"/>
                  <w:u w:val="none"/>
                  <w:effect w:val="none"/>
                </w:rPr>
                <w:t>15</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67">
              <w:r>
                <w:rPr>
                  <w:rStyle w:val="InternetLink"/>
                  <w:rFonts w:ascii="Arial;sans-serif" w:hAnsi="Arial;sans-serif"/>
                  <w:b w:val="false"/>
                  <w:strike w:val="false"/>
                  <w:dstrike w:val="false"/>
                  <w:color w:val="000080"/>
                  <w:sz w:val="18"/>
                  <w:u w:val="single"/>
                  <w:effect w:val="none"/>
                </w:rPr>
                <w:t xml:space="preserve">Net Interest </w:t>
              </w:r>
            </w:hyperlink>
            <w:hyperlink w:anchor="i2fb2ccce77824599820a3a98a7f3a0d9_67">
              <w:r>
                <w:rPr>
                  <w:rStyle w:val="InternetLink"/>
                  <w:rFonts w:ascii="Arial;sans-serif" w:hAnsi="Arial;sans-serif"/>
                  <w:b w:val="false"/>
                  <w:strike w:val="false"/>
                  <w:dstrike w:val="false"/>
                  <w:color w:val="000080"/>
                  <w:sz w:val="18"/>
                  <w:u w:val="single"/>
                  <w:effect w:val="none"/>
                </w:rPr>
                <w:t xml:space="preserve">Expense </w:t>
              </w:r>
            </w:hyperlink>
            <w:hyperlink w:anchor="i2fb2ccce77824599820a3a98a7f3a0d9_67">
              <w:r>
                <w:rPr>
                  <w:rStyle w:val="InternetLink"/>
                  <w:rFonts w:ascii="Arial;sans-serif" w:hAnsi="Arial;sans-serif"/>
                  <w:b w:val="false"/>
                  <w:strike w:val="false"/>
                  <w:dstrike w:val="false"/>
                  <w:color w:val="000080"/>
                  <w:sz w:val="18"/>
                  <w:u w:val="single"/>
                  <w:effect w:val="none"/>
                </w:rPr>
                <w:t>and Other Net Finance Expense</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67">
              <w:r>
                <w:rPr>
                  <w:rStyle w:val="InternetLink"/>
                  <w:rFonts w:ascii="Arial;sans-serif" w:hAnsi="Arial;sans-serif"/>
                  <w:b w:val="false"/>
                  <w:strike w:val="false"/>
                  <w:dstrike w:val="false"/>
                  <w:color w:val="000000"/>
                  <w:sz w:val="18"/>
                  <w:u w:val="none"/>
                  <w:effect w:val="none"/>
                </w:rPr>
                <w:t>15</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70">
              <w:r>
                <w:rPr>
                  <w:rStyle w:val="InternetLink"/>
                  <w:rFonts w:ascii="Arial;sans-serif" w:hAnsi="Arial;sans-serif"/>
                  <w:b w:val="false"/>
                  <w:strike w:val="false"/>
                  <w:dstrike w:val="false"/>
                  <w:color w:val="000000"/>
                  <w:sz w:val="18"/>
                  <w:u w:val="none"/>
                  <w:effect w:val="none"/>
                </w:rPr>
                <w:t xml:space="preserve">Other </w:t>
              </w:r>
            </w:hyperlink>
            <w:r>
              <w:rPr>
                <w:rFonts w:ascii="Arial;sans-serif" w:hAnsi="Arial;sans-serif"/>
                <w:b w:val="false"/>
                <w:color w:val="000000"/>
                <w:sz w:val="18"/>
              </w:rPr>
              <w:t>Expense</w:t>
            </w:r>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70">
              <w:r>
                <w:rPr>
                  <w:rStyle w:val="InternetLink"/>
                  <w:rFonts w:ascii="Arial;sans-serif" w:hAnsi="Arial;sans-serif"/>
                  <w:b w:val="false"/>
                  <w:strike w:val="false"/>
                  <w:dstrike w:val="false"/>
                  <w:color w:val="000000"/>
                  <w:sz w:val="18"/>
                  <w:u w:val="none"/>
                  <w:effect w:val="none"/>
                </w:rPr>
                <w:t>16</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76">
              <w:r>
                <w:rPr>
                  <w:rStyle w:val="InternetLink"/>
                  <w:rFonts w:ascii="Arial;sans-serif" w:hAnsi="Arial;sans-serif"/>
                  <w:b w:val="false"/>
                  <w:strike w:val="false"/>
                  <w:dstrike w:val="false"/>
                  <w:color w:val="000000"/>
                  <w:sz w:val="18"/>
                  <w:u w:val="none"/>
                  <w:effect w:val="none"/>
                </w:rPr>
                <w:t>Cash Flow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76">
              <w:r>
                <w:rPr>
                  <w:rStyle w:val="InternetLink"/>
                  <w:rFonts w:ascii="Arial;sans-serif" w:hAnsi="Arial;sans-serif"/>
                  <w:b w:val="false"/>
                  <w:strike w:val="false"/>
                  <w:dstrike w:val="false"/>
                  <w:color w:val="000000"/>
                  <w:sz w:val="18"/>
                  <w:u w:val="none"/>
                  <w:effect w:val="none"/>
                </w:rPr>
                <w:t>16</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79">
              <w:r>
                <w:rPr>
                  <w:rStyle w:val="InternetLink"/>
                  <w:rFonts w:ascii="Arial;sans-serif" w:hAnsi="Arial;sans-serif"/>
                  <w:b w:val="false"/>
                  <w:strike w:val="false"/>
                  <w:dstrike w:val="false"/>
                  <w:color w:val="000000"/>
                  <w:sz w:val="18"/>
                  <w:u w:val="none"/>
                  <w:effect w:val="none"/>
                </w:rPr>
                <w:t>Segmented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79">
              <w:r>
                <w:rPr>
                  <w:rStyle w:val="InternetLink"/>
                  <w:rFonts w:ascii="Arial;sans-serif" w:hAnsi="Arial;sans-serif"/>
                  <w:b w:val="false"/>
                  <w:strike w:val="false"/>
                  <w:dstrike w:val="false"/>
                  <w:color w:val="000000"/>
                  <w:sz w:val="18"/>
                  <w:u w:val="none"/>
                  <w:effect w:val="none"/>
                </w:rPr>
                <w:t>17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2ccce77824599820a3a98a7f3a0d9_82">
              <w:r>
                <w:rPr>
                  <w:rStyle w:val="InternetLink"/>
                  <w:rFonts w:ascii="Arial;sans-serif" w:hAnsi="Arial;sans-serif"/>
                  <w:b w:val="false"/>
                  <w:strike w:val="false"/>
                  <w:dstrike w:val="false"/>
                  <w:color w:val="000080"/>
                  <w:sz w:val="18"/>
                  <w:u w:val="single"/>
                  <w:effect w:val="none"/>
                </w:rPr>
                <w:t>Event</w:t>
              </w:r>
            </w:hyperlink>
            <w:hyperlink w:anchor="i2fb2ccce77824599820a3a98a7f3a0d9_82">
              <w:r>
                <w:rPr>
                  <w:rStyle w:val="InternetLink"/>
                  <w:rFonts w:ascii="Arial;sans-serif" w:hAnsi="Arial;sans-serif"/>
                  <w:b w:val="false"/>
                  <w:strike w:val="false"/>
                  <w:dstrike w:val="false"/>
                  <w:color w:val="000080"/>
                  <w:sz w:val="18"/>
                  <w:u w:val="single"/>
                  <w:effect w:val="none"/>
                </w:rPr>
                <w:t>s</w:t>
              </w:r>
            </w:hyperlink>
            <w:hyperlink w:anchor="i2fb2ccce77824599820a3a98a7f3a0d9_82">
              <w:r>
                <w:rPr>
                  <w:rStyle w:val="InternetLink"/>
                  <w:rFonts w:ascii="Arial;sans-serif" w:hAnsi="Arial;sans-serif"/>
                  <w:b w:val="false"/>
                  <w:strike w:val="false"/>
                  <w:dstrike w:val="false"/>
                  <w:color w:val="000080"/>
                  <w:sz w:val="18"/>
                  <w:u w:val="single"/>
                  <w:effect w:val="none"/>
                </w:rPr>
                <w:t xml:space="preserve"> after the Reporting Period</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2fb2ccce77824599820a3a98a7f3a0d9_82">
              <w:r>
                <w:rPr>
                  <w:rStyle w:val="InternetLink"/>
                  <w:rFonts w:ascii="Arial;sans-serif" w:hAnsi="Arial;sans-serif"/>
                  <w:b w:val="false"/>
                  <w:strike w:val="false"/>
                  <w:dstrike w:val="false"/>
                  <w:color w:val="000000"/>
                  <w:sz w:val="18"/>
                  <w:u w:val="none"/>
                  <w:effect w:val="none"/>
                </w:rPr>
                <w:t>18</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40815"/>
                <wp:effectExtent l="0" t="0" r="0" b="0"/>
                <wp:wrapNone/>
                <wp:docPr id="29" name="Frame29"/>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 xml:space="preserve">Notes to the Unaudited Interim Condensed </w:t>
        <w:br/>
        <w:t>Consolidated Financial Statements</w:t>
      </w:r>
    </w:p>
    <w:p>
      <w:pPr>
        <w:pStyle w:val="TextBody"/>
        <w:bidi w:val="0"/>
        <w:spacing w:before="0" w:after="0"/>
        <w:jc w:val="left"/>
        <w:rPr/>
      </w:pPr>
      <w:r>
        <w:rPr/>
      </w: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1.Corporate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interim condensed consolidated financial statements (consolidated financial statements) of Stantec Inc., its subsidiaries, and its structured entities (the Company) for the quarter ended March 31, 2026, were authorized for issuance in accordance with a resolution of the Company’s Audit and Risk Committee on May 13, 2026. The Company was incorporated under the Canada Business Corporations Act on March 23, 1984. Its shares are traded on the Toronto Stock Exchange (TSX) and New York Stock Exchange (NYSE) under the symbol STN. The Company’s registered office is located at Suite 300, 10220 - 103 Avenue, Edmonton, Alberta. The Company is domiciled in Canada.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Stantec is a global leader in sustainable engineering, architecture, and environmental consulting. Our professionals deliver the expertise, technology, and innovation communities need to manage aging infrastructure, demographic and population changes, the energy transition, and more. The Company’s services include engineering, architecture, interior design, landscape architecture, surveying, environmental sciences, project management, and project economics, from initial project concept and planning through to design, construction administration, commissioning, maintenance, decommissioning, and remediation.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2.Basis of Preparation</w:t>
      </w:r>
    </w:p>
    <w:p>
      <w:pPr>
        <w:pStyle w:val="TextBody"/>
        <w:bidi w:val="0"/>
        <w:spacing w:lineRule="auto" w:line="288" w:before="0" w:after="0"/>
        <w:jc w:val="left"/>
        <w:rPr/>
      </w:pPr>
      <w:r>
        <w:rPr>
          <w:rFonts w:ascii="Arial;sans-serif" w:hAnsi="Arial;sans-serif"/>
          <w:b w:val="false"/>
          <w:color w:val="000000"/>
          <w:sz w:val="18"/>
        </w:rPr>
        <w:t xml:space="preserve">These consolidated financial statements for the quarter ended March 31, 2026 were prepared in accordance with International Accounting Standard (IAS) 34 </w:t>
      </w:r>
      <w:r>
        <w:rPr>
          <w:rFonts w:ascii="Arial;sans-serif" w:hAnsi="Arial;sans-serif"/>
          <w:b w:val="false"/>
          <w:i/>
          <w:color w:val="000000"/>
          <w:sz w:val="18"/>
        </w:rPr>
        <w:t>Interim Financial Reporting.</w:t>
      </w:r>
      <w:r>
        <w:rPr>
          <w:color w:val="000000"/>
        </w:rPr>
        <w:t xml:space="preserve"> </w:t>
      </w:r>
      <w:r>
        <w:rPr>
          <w:rFonts w:ascii="Arial;sans-serif" w:hAnsi="Arial;sans-serif"/>
          <w:b w:val="false"/>
          <w:color w:val="000000"/>
          <w:sz w:val="18"/>
        </w:rPr>
        <w:t>These consolidated financial statements do not include all information and disclosures required in the annual consolidated financial statements and should be read in conjunction with the Company’s December 31, 2025 annual consolidated financial statements. These consolidated financial statements are presented in Canadian dollars and all values are rounded to the nearest million ($000,000), except where otherwise indicated.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accounting policies applied when preparing the Company’s consolidated financial statements are consistent with those followed when preparing the annual consolidated financial statements for the year ended December 31, 2025 except as described in note 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these consolidated financial statements requires management to make judgments, estimates, and assumptions that affect the application of accounting policies and the reported amounts of revenues, expenses, assets, and liabilities. The significant judgments made by management when applying the Company’s accounting policies and the key sources of estimation uncertainty were the same as those that applied to the Company’s December 31, 2025 annual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3.Recent Accounting Pronouncements and Changes to Accounting Policies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 Recent adoptions</w:t>
      </w:r>
    </w:p>
    <w:p>
      <w:pPr>
        <w:pStyle w:val="TextBody"/>
        <w:bidi w:val="0"/>
        <w:spacing w:lineRule="auto" w:line="288" w:before="0" w:after="0"/>
        <w:jc w:val="left"/>
        <w:rPr/>
      </w:pPr>
      <w:r>
        <w:rPr>
          <w:rFonts w:ascii="Arial;sans-serif" w:hAnsi="Arial;sans-serif"/>
          <w:b w:val="false"/>
          <w:color w:val="000000"/>
          <w:sz w:val="18"/>
        </w:rPr>
        <w:t xml:space="preserve">On January 1, 2026, the Company adopted the International Accounting Standards Board (IASB) issued </w:t>
      </w:r>
      <w:r>
        <w:rPr>
          <w:rFonts w:ascii="Arial;sans-serif" w:hAnsi="Arial;sans-serif"/>
          <w:b w:val="false"/>
          <w:i/>
          <w:color w:val="000000"/>
          <w:sz w:val="18"/>
        </w:rPr>
        <w:t xml:space="preserve">Amendments to the Classification and Measurement of Financial Instruments </w:t>
      </w:r>
      <w:r>
        <w:rPr>
          <w:rFonts w:ascii="Arial;sans-serif" w:hAnsi="Arial;sans-serif"/>
          <w:b w:val="false"/>
          <w:color w:val="000000"/>
          <w:sz w:val="18"/>
        </w:rPr>
        <w:t xml:space="preserve">(Amendments to IFRS 9 and IFRS 7) on a retrospective basis. The amendments clarify that financial liabilities are derecognized on the settlement date, subject to an accounting policy choice for certain financial liabilities settled through an electronic payment system; clarify the classification and measurement requirements for financial assets with Environmental, Social, and Governance linked and non-recourse features; and add certain disclosure requirements.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Adopting the amendments resulted in a change in the accounting policy for derecognition of liabilities settled with cash. Previously, the Company derecognized liabilities settled with cash on payment instruction. Under the new policy, the Company has elected to apply the optional exception to derecognize financial liabilities settled through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40815"/>
                <wp:effectExtent l="0" t="0" r="0" b="0"/>
                <wp:wrapNone/>
                <wp:docPr id="30" name="Frame30"/>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qualifying electronic payment systems on payment instruction, while financial liabilities settled through other methods are derecognized on settlement.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amendments apply retrospectively; however, the Company was not required to restate prior periods to reflect their application under transitional provisions. The adjustment to cash and cash equivalents and trade and other payables at January 1, 2026 is reflected in the consolidated statements of cash flows. The amendments did not have any other material effects on the consolidated financial statements of the Company.</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b) Future adoptions</w:t>
      </w:r>
    </w:p>
    <w:p>
      <w:pPr>
        <w:pStyle w:val="TextBody"/>
        <w:bidi w:val="0"/>
        <w:spacing w:lineRule="auto" w:line="288" w:before="0" w:after="0"/>
        <w:jc w:val="left"/>
        <w:rPr/>
      </w:pPr>
      <w:r>
        <w:rPr>
          <w:rFonts w:ascii="Arial;sans-serif" w:hAnsi="Arial;sans-serif"/>
          <w:b w:val="false"/>
          <w:color w:val="000000"/>
          <w:sz w:val="18"/>
        </w:rPr>
        <w:t xml:space="preserve">In April 2024, the IASB issued IFRS 18 </w:t>
      </w:r>
      <w:r>
        <w:rPr>
          <w:rFonts w:ascii="Arial;sans-serif" w:hAnsi="Arial;sans-serif"/>
          <w:b w:val="false"/>
          <w:i/>
          <w:color w:val="000000"/>
          <w:sz w:val="18"/>
        </w:rPr>
        <w:t>Presentation and Disclosure in Financial Statements</w:t>
      </w:r>
      <w:r>
        <w:rPr>
          <w:rFonts w:ascii="Arial;sans-serif" w:hAnsi="Arial;sans-serif"/>
          <w:b w:val="false"/>
          <w:color w:val="000000"/>
          <w:sz w:val="18"/>
        </w:rPr>
        <w:t xml:space="preserve">, which will replace IAS 1 </w:t>
      </w:r>
      <w:r>
        <w:rPr>
          <w:rFonts w:ascii="Arial;sans-serif" w:hAnsi="Arial;sans-serif"/>
          <w:b w:val="false"/>
          <w:i/>
          <w:color w:val="000000"/>
          <w:sz w:val="18"/>
        </w:rPr>
        <w:t>Presentation of Financial Statements</w:t>
      </w:r>
      <w:r>
        <w:rPr>
          <w:color w:val="000000"/>
        </w:rPr>
        <w:t xml:space="preserve"> </w:t>
      </w:r>
      <w:r>
        <w:rPr>
          <w:rFonts w:ascii="Arial;sans-serif" w:hAnsi="Arial;sans-serif"/>
          <w:b w:val="false"/>
          <w:color w:val="000000"/>
          <w:sz w:val="18"/>
        </w:rPr>
        <w:t xml:space="preserve">and will be accompanied by limited amendments to IAS 7 </w:t>
      </w:r>
      <w:r>
        <w:rPr>
          <w:rFonts w:ascii="Arial;sans-serif" w:hAnsi="Arial;sans-serif"/>
          <w:b w:val="false"/>
          <w:i/>
          <w:color w:val="000000"/>
          <w:sz w:val="18"/>
        </w:rPr>
        <w:t>Statement of Cash Flows</w:t>
      </w:r>
      <w:r>
        <w:rPr>
          <w:rFonts w:ascii="Arial;sans-serif" w:hAnsi="Arial;sans-serif"/>
          <w:b w:val="false"/>
          <w:color w:val="000000"/>
          <w:sz w:val="18"/>
        </w:rPr>
        <w:t xml:space="preserve">, IAS 33 </w:t>
      </w:r>
      <w:r>
        <w:rPr>
          <w:rFonts w:ascii="Arial;sans-serif" w:hAnsi="Arial;sans-serif"/>
          <w:b w:val="false"/>
          <w:i/>
          <w:color w:val="000000"/>
          <w:sz w:val="18"/>
        </w:rPr>
        <w:t>Earnings per Share</w:t>
      </w:r>
      <w:r>
        <w:rPr>
          <w:rFonts w:ascii="Arial;sans-serif" w:hAnsi="Arial;sans-serif"/>
          <w:b w:val="false"/>
          <w:color w:val="000000"/>
          <w:sz w:val="18"/>
        </w:rPr>
        <w:t xml:space="preserve">, and IAS 34 </w:t>
      </w:r>
      <w:r>
        <w:rPr>
          <w:rFonts w:ascii="Arial;sans-serif" w:hAnsi="Arial;sans-serif"/>
          <w:b w:val="false"/>
          <w:i/>
          <w:color w:val="000000"/>
          <w:sz w:val="18"/>
        </w:rPr>
        <w:t xml:space="preserve">Interim Financial Reporting. </w:t>
      </w:r>
      <w:r>
        <w:rPr>
          <w:rFonts w:ascii="Arial;sans-serif" w:hAnsi="Arial;sans-serif"/>
          <w:b w:val="false"/>
          <w:color w:val="000000"/>
          <w:sz w:val="18"/>
        </w:rPr>
        <w:t xml:space="preserve">IFRS 18 will introduce a defined structure for the statement of profit or loss and add disclosures about management-defined performance measures (MPMs) and new principles for aggregation and disaggregation of information. The standard will be effective for annual reporting periods beginning on or after January 1, 2027, with earlier application permitted.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currently assessing the impact of these new and amended accounting standards on its presentation and disclosure. The most significant expected impacts identified through its preliminary assessment are described below:</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Statement of Income or Loss:</w:t>
      </w:r>
      <w:r>
        <w:rPr>
          <w:color w:val="000000"/>
        </w:rPr>
        <w:t xml:space="preserve"> </w:t>
      </w:r>
      <w:r>
        <w:rPr>
          <w:rFonts w:ascii="Arial;sans-serif" w:hAnsi="Arial;sans-serif"/>
          <w:b w:val="false"/>
          <w:color w:val="000000"/>
          <w:sz w:val="18"/>
        </w:rPr>
        <w:t>Although the adoption of IFRS 18 will have no impact on the Company’s net income or loss, the presentation of the Company’s consolidated statements of income or loss will change, including the reclassification of income and expenses into operating, investing, and financing categories and the presentation of two new subtotals, ‘operating profit or loss’ and ‘profit or loss before financing and income taxes’.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Statement of Cash Flows:</w:t>
      </w:r>
      <w:r>
        <w:rPr>
          <w:color w:val="000000"/>
        </w:rPr>
        <w:t xml:space="preserve"> </w:t>
      </w:r>
      <w:r>
        <w:rPr>
          <w:rFonts w:ascii="Arial;sans-serif" w:hAnsi="Arial;sans-serif"/>
          <w:b w:val="false"/>
          <w:color w:val="000000"/>
          <w:sz w:val="18"/>
        </w:rPr>
        <w:t>The consequential amendments to IAS 7 will result in a change to the starting point for determining cash flows from operations from ‘net income or loss’ to ‘operating profit or loss’, as well as the reclassification of interest and dividends received and interest paid from operating activities to investing and financing activities, respectively.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Notes to the Financial Statements:</w:t>
      </w:r>
      <w:r>
        <w:rPr>
          <w:color w:val="000000"/>
        </w:rPr>
        <w:t xml:space="preserve"> </w:t>
      </w:r>
      <w:r>
        <w:rPr>
          <w:rFonts w:ascii="Arial;sans-serif" w:hAnsi="Arial;sans-serif"/>
          <w:b w:val="false"/>
          <w:color w:val="000000"/>
          <w:sz w:val="18"/>
        </w:rPr>
        <w:t>Certain financial measures and related information currently reported as ‘Non-IFRS and Other Financial Measures’ in the Company’s management discussion &amp; analysis are expected to be MPMs under IFRS 18, resulting in additional disclosures in the 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actual impacts of adopting the new and amended accounting standards on January 1, 2027 may change as the Company has not finalized its assessment.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4.Trade and Other Receivables</w:t>
      </w:r>
    </w:p>
    <w:tbl>
      <w:tblPr>
        <w:tblW w:w="8458" w:type="dxa"/>
        <w:jc w:val="left"/>
        <w:tblInd w:w="0" w:type="dxa"/>
        <w:tblLayout w:type="fixed"/>
        <w:tblCellMar>
          <w:top w:w="28" w:type="dxa"/>
          <w:left w:w="28" w:type="dxa"/>
          <w:bottom w:w="28" w:type="dxa"/>
          <w:right w:w="28" w:type="dxa"/>
        </w:tblCellMar>
      </w:tblPr>
      <w:tblGrid>
        <w:gridCol w:w="2073"/>
        <w:gridCol w:w="1826"/>
        <w:gridCol w:w="1831"/>
        <w:gridCol w:w="109"/>
        <w:gridCol w:w="390"/>
        <w:gridCol w:w="391"/>
        <w:gridCol w:w="316"/>
        <w:gridCol w:w="419"/>
        <w:gridCol w:w="419"/>
        <w:gridCol w:w="421"/>
        <w:gridCol w:w="109"/>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31,</w:t>
              <w:br/>
              <w:t>2026</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Trade receivables, net of expected credit losses of $4.0 (2025 – $3.0)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1,283.4</w:t>
            </w:r>
            <w:r>
              <w:rPr>
                <w:color w:val="000000"/>
              </w:rPr>
              <w:t> </w:t>
            </w:r>
          </w:p>
        </w:tc>
        <w:tc>
          <w:tcPr>
            <w:tcW w:w="3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1,260.2 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Holdbacks and other</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47.6</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Insurance receivables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17.8</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Trade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1,348.8</w:t>
            </w:r>
            <w:r>
              <w:rPr>
                <w:color w:val="000000"/>
              </w:rPr>
              <w:t> </w:t>
            </w:r>
          </w:p>
        </w:tc>
        <w:tc>
          <w:tcPr>
            <w:tcW w:w="31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1,306.5 </w:t>
            </w:r>
          </w:p>
        </w:tc>
        <w:tc>
          <w:tcPr>
            <w:tcW w:w="42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aging analysis of gross trade receivables is as follows:</w:t>
      </w:r>
    </w:p>
    <w:tbl>
      <w:tblPr>
        <w:tblW w:w="6812" w:type="dxa"/>
        <w:jc w:val="left"/>
        <w:tblInd w:w="0" w:type="dxa"/>
        <w:tblLayout w:type="fixed"/>
        <w:tblCellMar>
          <w:top w:w="28" w:type="dxa"/>
          <w:left w:w="28" w:type="dxa"/>
          <w:bottom w:w="28" w:type="dxa"/>
          <w:right w:w="28" w:type="dxa"/>
        </w:tblCellMar>
      </w:tblPr>
      <w:tblGrid>
        <w:gridCol w:w="629"/>
        <w:gridCol w:w="553"/>
        <w:gridCol w:w="558"/>
        <w:gridCol w:w="390"/>
        <w:gridCol w:w="391"/>
        <w:gridCol w:w="176"/>
        <w:gridCol w:w="315"/>
        <w:gridCol w:w="316"/>
        <w:gridCol w:w="175"/>
        <w:gridCol w:w="315"/>
        <w:gridCol w:w="316"/>
        <w:gridCol w:w="211"/>
        <w:gridCol w:w="308"/>
        <w:gridCol w:w="308"/>
        <w:gridCol w:w="211"/>
        <w:gridCol w:w="263"/>
        <w:gridCol w:w="263"/>
        <w:gridCol w:w="246"/>
        <w:gridCol w:w="315"/>
        <w:gridCol w:w="316"/>
        <w:gridCol w:w="23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1–30</w:t>
            </w:r>
          </w:p>
        </w:tc>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31–60</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61–90</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91–120</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74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March 31, 2026</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1,287.4</w:t>
            </w:r>
            <w:r>
              <w:rPr>
                <w:color w:val="000000"/>
              </w:rPr>
              <w:t> </w:t>
            </w:r>
          </w:p>
        </w:tc>
        <w:tc>
          <w:tcPr>
            <w:tcW w:w="17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778.7</w:t>
            </w:r>
            <w:r>
              <w:rPr>
                <w:color w:val="000000"/>
              </w:rPr>
              <w:t> </w:t>
            </w:r>
          </w:p>
        </w:tc>
        <w:tc>
          <w:tcPr>
            <w:tcW w:w="1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257.1</w:t>
            </w:r>
            <w:r>
              <w:rPr>
                <w:color w:val="000000"/>
              </w:rPr>
              <w:t> </w:t>
            </w:r>
          </w:p>
        </w:tc>
        <w:tc>
          <w:tcPr>
            <w:tcW w:w="2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90.5</w:t>
            </w:r>
            <w:r>
              <w:rPr>
                <w:color w:val="000000"/>
              </w:rPr>
              <w:t> </w:t>
            </w:r>
          </w:p>
        </w:tc>
        <w:tc>
          <w:tcPr>
            <w:tcW w:w="2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51.8</w:t>
            </w:r>
            <w:r>
              <w:rPr>
                <w:color w:val="000000"/>
              </w:rPr>
              <w:t> </w:t>
            </w:r>
          </w:p>
        </w:tc>
        <w:tc>
          <w:tcPr>
            <w:tcW w:w="24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109.3</w:t>
            </w:r>
            <w:r>
              <w:rPr>
                <w:color w:val="000000"/>
              </w:rPr>
              <w:t> </w:t>
            </w:r>
          </w:p>
        </w:tc>
        <w:tc>
          <w:tcPr>
            <w:tcW w:w="23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78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1,263.2 </w:t>
            </w:r>
          </w:p>
        </w:tc>
        <w:tc>
          <w:tcPr>
            <w:tcW w:w="1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741.2 </w:t>
            </w:r>
          </w:p>
        </w:tc>
        <w:tc>
          <w:tcPr>
            <w:tcW w:w="17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274.7 </w:t>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4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23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Information about the Company’s exposure to credit risks for trade and other receivables is included in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40815"/>
                <wp:effectExtent l="0" t="0" r="0" b="0"/>
                <wp:wrapNone/>
                <wp:docPr id="31" name="Frame31"/>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5.Other Assets</w:t>
      </w:r>
    </w:p>
    <w:p>
      <w:pPr>
        <w:pStyle w:val="TextBody"/>
        <w:bidi w:val="0"/>
        <w:spacing w:before="0" w:after="0"/>
        <w:jc w:val="left"/>
        <w:rPr/>
      </w:pPr>
      <w:r>
        <w:rPr/>
      </w:r>
    </w:p>
    <w:tbl>
      <w:tblPr>
        <w:tblW w:w="6316" w:type="dxa"/>
        <w:jc w:val="left"/>
        <w:tblInd w:w="0" w:type="dxa"/>
        <w:tblLayout w:type="fixed"/>
        <w:tblCellMar>
          <w:top w:w="28" w:type="dxa"/>
          <w:left w:w="28" w:type="dxa"/>
          <w:bottom w:w="28" w:type="dxa"/>
          <w:right w:w="28" w:type="dxa"/>
        </w:tblCellMar>
      </w:tblPr>
      <w:tblGrid>
        <w:gridCol w:w="1275"/>
        <w:gridCol w:w="1121"/>
        <w:gridCol w:w="1128"/>
        <w:gridCol w:w="180"/>
        <w:gridCol w:w="180"/>
        <w:gridCol w:w="181"/>
        <w:gridCol w:w="315"/>
        <w:gridCol w:w="316"/>
        <w:gridCol w:w="316"/>
        <w:gridCol w:w="381"/>
        <w:gridCol w:w="381"/>
        <w:gridCol w:w="542"/>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31,</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Notes</w:t>
            </w:r>
          </w:p>
        </w:tc>
        <w:tc>
          <w:tcPr>
            <w:tcW w:w="94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Financial assets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Investments held for self-insured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189.2</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Holdbacks on long-term contracts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23.8</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10,11</w:t>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13.2</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Insurance recovery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5.1</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34.1</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Non-financial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15.2</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280.6</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312.4 </w:t>
            </w:r>
          </w:p>
        </w:tc>
        <w:tc>
          <w:tcPr>
            <w:tcW w:w="5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Less current portion - financial</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16.5</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 - non-financial</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262.4</w:t>
            </w:r>
            <w:r>
              <w:rPr>
                <w:color w:val="000000"/>
              </w:rPr>
              <w:t> </w:t>
            </w:r>
          </w:p>
        </w:tc>
        <w:tc>
          <w:tcPr>
            <w:tcW w:w="31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 Other primarily includes sublease receivables and deposits. Non-financial assets — Other primarily includes transaction costs on long-term debt, investment tax credits, and investments in joint ventures and associates.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Investments held for self-insured liabilities include government and corporate bonds that are classified as fair value through other comprehensive income with unrealized gains (losses) recorded in other comprehensive income. Investments also include equity securities that are classified as fair value through profit and loss with gains (losses) recorded in net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6.Long-Term Debt</w:t>
      </w:r>
    </w:p>
    <w:tbl>
      <w:tblPr>
        <w:tblW w:w="5134" w:type="dxa"/>
        <w:jc w:val="left"/>
        <w:tblInd w:w="0" w:type="dxa"/>
        <w:tblLayout w:type="fixed"/>
        <w:tblCellMar>
          <w:top w:w="28" w:type="dxa"/>
          <w:left w:w="28" w:type="dxa"/>
          <w:bottom w:w="28" w:type="dxa"/>
          <w:right w:w="28" w:type="dxa"/>
        </w:tblCellMar>
      </w:tblPr>
      <w:tblGrid>
        <w:gridCol w:w="983"/>
        <w:gridCol w:w="863"/>
        <w:gridCol w:w="868"/>
        <w:gridCol w:w="389"/>
        <w:gridCol w:w="392"/>
        <w:gridCol w:w="316"/>
        <w:gridCol w:w="400"/>
        <w:gridCol w:w="381"/>
        <w:gridCol w:w="542"/>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31,</w:t>
              <w:br/>
              <w:t>2026</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unsecured notes</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971.8</w:t>
            </w:r>
            <w:r>
              <w:rPr>
                <w:color w:val="000000"/>
              </w:rPr>
              <w:t> </w:t>
            </w:r>
          </w:p>
        </w:tc>
        <w:tc>
          <w:tcPr>
            <w:tcW w:w="3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971.6 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Revolving credit facilities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90.0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Term loan and bilateral facilities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407.7</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342.3</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financing obligations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31.0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1,842.8</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1,818.3 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265.5</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1,577.3</w:t>
            </w:r>
            <w:r>
              <w:rPr>
                <w:color w:val="000000"/>
              </w:rPr>
              <w:t> </w:t>
            </w:r>
          </w:p>
        </w:tc>
        <w:tc>
          <w:tcPr>
            <w:tcW w:w="31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1,527.3 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Senior unsecured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senior unsecured notes (the notes) consist of: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$300 of notes that mature on October 8, 2027, bearing interest at a fixed rate of 2.048% per annum;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$250 of notes that mature on June 27, 2030, bearing interest at a fixed rate of 5.393% per annum;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$425 of notes that mature on June 10, 2032, bearing interest at a fixed rate of 4.374% per annum.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notes rank pari passu with all other debt and future indebtedness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40815"/>
                <wp:effectExtent l="0" t="0" r="0" b="0"/>
                <wp:wrapNone/>
                <wp:docPr id="32" name="Frame32"/>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F-9</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F-9</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Revolving credit, term loan, and bilateral facilities </w:t>
      </w:r>
    </w:p>
    <w:p>
      <w:pPr>
        <w:pStyle w:val="TextBody"/>
        <w:bidi w:val="0"/>
        <w:spacing w:lineRule="auto" w:line="288" w:before="0" w:after="0"/>
        <w:jc w:val="left"/>
        <w:rPr/>
      </w:pPr>
      <w:r>
        <w:rPr>
          <w:rFonts w:ascii="Arial;sans-serif" w:hAnsi="Arial;sans-serif"/>
          <w:b w:val="false"/>
          <w:color w:val="000000"/>
          <w:sz w:val="18"/>
          <w:shd w:fill="FFFFFF" w:val="clear"/>
        </w:rPr>
        <w:t xml:space="preserve">The Company has syndicated senior credit facilities, structured as a sustainability-linked </w:t>
      </w:r>
      <w:r>
        <w:rPr>
          <w:rFonts w:ascii="Arial;sans-serif" w:hAnsi="Arial;sans-serif"/>
          <w:b w:val="false"/>
          <w:color w:val="000000"/>
          <w:sz w:val="18"/>
        </w:rPr>
        <w:t>loan,</w:t>
      </w:r>
      <w:r>
        <w:rPr>
          <w:color w:val="000000"/>
          <w:shd w:fill="FFFFFF" w:val="clear"/>
        </w:rPr>
        <w:t xml:space="preserve"> </w:t>
      </w:r>
      <w:r>
        <w:rPr>
          <w:rFonts w:ascii="Arial;sans-serif" w:hAnsi="Arial;sans-serif"/>
          <w:b w:val="false"/>
          <w:color w:val="000000"/>
          <w:sz w:val="18"/>
          <w:shd w:fill="FFFFFF" w:val="clear"/>
        </w:rPr>
        <w:t xml:space="preserve">consisting of an unsecured senior revolving credit facility in the maximum amount of </w:t>
      </w:r>
      <w:r>
        <w:rPr>
          <w:rFonts w:ascii="Arial;sans-serif" w:hAnsi="Arial;sans-serif"/>
          <w:b w:val="false"/>
          <w:color w:val="000000"/>
          <w:sz w:val="18"/>
        </w:rPr>
        <w:t>$1.2 billion,</w:t>
      </w:r>
      <w:r>
        <w:rPr>
          <w:color w:val="000000"/>
          <w:shd w:fill="FFFFFF" w:val="clear"/>
        </w:rPr>
        <w:t xml:space="preserve"> </w:t>
      </w:r>
      <w:r>
        <w:rPr>
          <w:rFonts w:ascii="Arial;sans-serif" w:hAnsi="Arial;sans-serif"/>
          <w:b w:val="false"/>
          <w:color w:val="000000"/>
          <w:sz w:val="18"/>
          <w:shd w:fill="FFFFFF" w:val="clear"/>
        </w:rPr>
        <w:t xml:space="preserve">unsecured senior term loan of </w:t>
      </w:r>
      <w:r>
        <w:rPr>
          <w:rFonts w:ascii="Arial;sans-serif" w:hAnsi="Arial;sans-serif"/>
          <w:b w:val="false"/>
          <w:color w:val="000000"/>
          <w:sz w:val="18"/>
        </w:rPr>
        <w:t>$310 in two tranches</w:t>
      </w:r>
      <w:r>
        <w:rPr>
          <w:rFonts w:ascii="Arial;sans-serif" w:hAnsi="Arial;sans-serif"/>
          <w:b w:val="false"/>
          <w:color w:val="000000"/>
          <w:sz w:val="18"/>
          <w:shd w:fill="FFFFFF" w:val="clear"/>
        </w:rPr>
        <w:t>, and access to additional funds of $600, subject to approval and under the same terms and conditions</w:t>
      </w:r>
      <w:r>
        <w:rPr>
          <w:rFonts w:ascii="Arial;sans-serif" w:hAnsi="Arial;sans-serif"/>
          <w:b w:val="false"/>
          <w:color w:val="000000"/>
          <w:sz w:val="18"/>
        </w:rPr>
        <w:t xml:space="preserve">. The senior revolving credit and term loan facilities may be repaid from time to time at the option of the Company and mature at various dates before </w:t>
      </w:r>
      <w:r>
        <w:rPr>
          <w:rFonts w:ascii="Arial;sans-serif" w:hAnsi="Arial;sans-serif"/>
          <w:b w:val="false"/>
          <w:color w:val="000000"/>
          <w:sz w:val="18"/>
          <w:shd w:fill="FFFFFF" w:val="clear"/>
        </w:rPr>
        <w:t xml:space="preserve">June 11, 2030.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funds available under the senior revolving credit facility are reduced by overdrafts and outstanding letters of credit issued pursuant to the facility agreement. At March 31, 2026, $1,101.7 (December 31, 2025 - $1,164.1) was available under the senior revolving credit facility.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The Company also has unsecured bilateral credit facilities, including a term facility of $100</w:t>
      </w:r>
      <w:r>
        <w:rPr>
          <w:color w:val="000000"/>
          <w:shd w:fill="FFFFFF" w:val="clear"/>
        </w:rPr>
        <w:t xml:space="preserve"> </w:t>
      </w:r>
      <w:r>
        <w:rPr>
          <w:rFonts w:ascii="Arial;sans-serif" w:hAnsi="Arial;sans-serif"/>
          <w:b w:val="false"/>
          <w:color w:val="000000"/>
          <w:sz w:val="18"/>
          <w:shd w:fill="FFFFFF" w:val="clear"/>
        </w:rPr>
        <w:t>maturing on</w:t>
      </w:r>
      <w:r>
        <w:rPr>
          <w:color w:val="000000"/>
        </w:rPr>
        <w:t xml:space="preserve"> </w:t>
      </w:r>
      <w:r>
        <w:rPr>
          <w:rFonts w:ascii="Arial;sans-serif" w:hAnsi="Arial;sans-serif"/>
          <w:b w:val="false"/>
          <w:color w:val="000000"/>
          <w:sz w:val="18"/>
        </w:rPr>
        <w:t>June 26, 2026, and a revolving facility of US$100 maturing on July 15, 2027.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w:t>
      </w:r>
      <w:r>
        <w:rPr>
          <w:rFonts w:ascii="Arial;sans-serif" w:hAnsi="Arial;sans-serif"/>
          <w:b w:val="false"/>
          <w:color w:val="000000"/>
          <w:sz w:val="18"/>
          <w:shd w:fill="FFFFFF" w:val="clear"/>
        </w:rPr>
        <w:t xml:space="preserve">e average interest rate for the revolving credit facilities and term loan facilities at March 31, 2026, was 3.81% (December 31, 2025 – 3.77%).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is subject to restrictive covenants related to its revolving credit facility, term loan and bilateral facilities, and senior unsecured notes, which are measured quarterly. These covenants are consistent with those disclosed in the Company’s annual consolidated financial statements for the year ended December 31, 2025. The Company was in compliance with these covenants as at and throughout the quarter ended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Bank indebtedness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has an uncommitted unsecured multicurrency credit facility of up to £20 and an overdraft facility of up to AU$5, repayable on demand. Bank indebtedness also includes overdrafts drawn under the terms of the Company’s syndicated senior credit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Notes payable and other finance obligations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Notes payable consists primarily of notes payable for acquisitions and are due at various times from 2026 to 2028. Repayment is contingent on selling shareholders complying with the terms of the acquisition agreements.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w:t>
      </w:r>
      <w:r>
        <w:rPr>
          <w:rFonts w:ascii="Arial;sans-serif" w:hAnsi="Arial;sans-serif"/>
          <w:b w:val="false"/>
          <w:color w:val="000000"/>
          <w:sz w:val="18"/>
        </w:rPr>
        <w:t xml:space="preserve">e Company has other financing obligations for software (included in intangible assets), equipment, and leasehold improvements. These obligations expire at various dates before February 2029.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Letter of credit and surety facilities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issues letters of credit within its revolving credit facility and has separate facilities outside of its revolving credit facility that provide letters of credit. The Company also enters into bonds for certain projects.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40815"/>
                <wp:effectExtent l="0" t="0" r="0" b="0"/>
                <wp:wrapNone/>
                <wp:docPr id="33" name="Frame33"/>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7.Provisions</w:t>
      </w:r>
    </w:p>
    <w:tbl>
      <w:tblPr>
        <w:tblW w:w="7915" w:type="dxa"/>
        <w:jc w:val="left"/>
        <w:tblInd w:w="0" w:type="dxa"/>
        <w:tblLayout w:type="fixed"/>
        <w:tblCellMar>
          <w:top w:w="28" w:type="dxa"/>
          <w:left w:w="28" w:type="dxa"/>
          <w:bottom w:w="28" w:type="dxa"/>
          <w:right w:w="28" w:type="dxa"/>
        </w:tblCellMar>
      </w:tblPr>
      <w:tblGrid>
        <w:gridCol w:w="840"/>
        <w:gridCol w:w="738"/>
        <w:gridCol w:w="746"/>
        <w:gridCol w:w="380"/>
        <w:gridCol w:w="380"/>
        <w:gridCol w:w="381"/>
        <w:gridCol w:w="293"/>
        <w:gridCol w:w="293"/>
        <w:gridCol w:w="236"/>
        <w:gridCol w:w="350"/>
        <w:gridCol w:w="350"/>
        <w:gridCol w:w="351"/>
        <w:gridCol w:w="569"/>
        <w:gridCol w:w="569"/>
        <w:gridCol w:w="571"/>
        <w:gridCol w:w="315"/>
        <w:gridCol w:w="316"/>
        <w:gridCol w:w="237"/>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Self-insured</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liabilities</w:t>
            </w:r>
          </w:p>
        </w:tc>
        <w:tc>
          <w:tcPr>
            <w:tcW w:w="82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Claims</w:t>
            </w:r>
          </w:p>
        </w:tc>
        <w:tc>
          <w:tcPr>
            <w:tcW w:w="10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Lease</w:t>
              <w:br/>
              <w:t>restoration</w:t>
            </w:r>
          </w:p>
        </w:tc>
        <w:tc>
          <w:tcPr>
            <w:tcW w:w="170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Onerous contracts</w:t>
            </w:r>
          </w:p>
        </w:tc>
        <w:tc>
          <w:tcPr>
            <w:tcW w:w="86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2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70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6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January 1, 2026</w:t>
            </w:r>
          </w:p>
        </w:tc>
        <w:tc>
          <w:tcPr>
            <w:tcW w:w="76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119.1</w:t>
            </w:r>
            <w:r>
              <w:rPr>
                <w:color w:val="000000"/>
              </w:rPr>
              <w:t> </w:t>
            </w:r>
          </w:p>
        </w:tc>
        <w:tc>
          <w:tcPr>
            <w:tcW w:w="38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63.9</w:t>
            </w:r>
            <w:r>
              <w:rPr>
                <w:color w:val="000000"/>
              </w:rPr>
              <w:t> </w:t>
            </w:r>
          </w:p>
        </w:tc>
        <w:tc>
          <w:tcPr>
            <w:tcW w:w="23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35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19.2</w:t>
            </w:r>
            <w:r>
              <w:rPr>
                <w:color w:val="000000"/>
              </w:rPr>
              <w:t> </w:t>
            </w:r>
          </w:p>
        </w:tc>
        <w:tc>
          <w:tcPr>
            <w:tcW w:w="57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237.7</w:t>
            </w:r>
            <w:r>
              <w:rPr>
                <w:color w:val="000000"/>
              </w:rPr>
              <w:t> </w:t>
            </w:r>
          </w:p>
        </w:tc>
        <w:tc>
          <w:tcPr>
            <w:tcW w:w="23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period provisions</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w:t>
            </w:r>
            <w:r>
              <w:rPr>
                <w:color w:val="000000"/>
              </w:rPr>
              <w:t>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22.1</w:t>
            </w:r>
            <w:r>
              <w:rPr>
                <w:color w:val="000000"/>
              </w:rPr>
              <w:t>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w:t>
            </w:r>
            <w:r>
              <w:rPr>
                <w:color w:val="000000"/>
              </w:rPr>
              <w:t> </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w:t>
            </w:r>
            <w:r>
              <w:rPr>
                <w:color w:val="000000"/>
              </w:rPr>
              <w:t> </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37.0</w:t>
            </w:r>
            <w:r>
              <w:rPr>
                <w:color w:val="000000"/>
              </w:rPr>
              <w:t> </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Paid or otherwise settled</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(14.3)</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(11.6)</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(0.6)</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(6.0)</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(32.5)</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Impact of foreign exchange</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w:t>
            </w:r>
            <w:r>
              <w:rPr>
                <w:color w:val="000000"/>
              </w:rPr>
              <w:t>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0.9</w:t>
            </w:r>
            <w:r>
              <w:rPr>
                <w:color w:val="000000"/>
              </w:rPr>
              <w:t>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0.3</w:t>
            </w:r>
            <w:r>
              <w:rPr>
                <w:color w:val="000000"/>
              </w:rPr>
              <w:t> </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0.1</w:t>
            </w:r>
            <w:r>
              <w:rPr>
                <w:color w:val="000000"/>
              </w:rPr>
              <w:t> </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w:t>
            </w:r>
            <w:r>
              <w:rPr>
                <w:color w:val="000000"/>
              </w:rPr>
              <w:t> </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116.8</w:t>
            </w:r>
            <w:r>
              <w:rPr>
                <w:color w:val="000000"/>
              </w:rPr>
              <w:t> </w:t>
            </w:r>
          </w:p>
        </w:tc>
        <w:tc>
          <w:tcPr>
            <w:tcW w:w="38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75.3</w:t>
            </w:r>
            <w:r>
              <w:rPr>
                <w:color w:val="000000"/>
              </w:rPr>
              <w:t> </w:t>
            </w:r>
          </w:p>
        </w:tc>
        <w:tc>
          <w:tcPr>
            <w:tcW w:w="2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36.2</w:t>
            </w:r>
            <w:r>
              <w:rPr>
                <w:color w:val="000000"/>
              </w:rPr>
              <w:t> </w:t>
            </w:r>
          </w:p>
        </w:tc>
        <w:tc>
          <w:tcPr>
            <w:tcW w:w="35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16.5</w:t>
            </w:r>
            <w:r>
              <w:rPr>
                <w:color w:val="000000"/>
              </w:rPr>
              <w:t> </w:t>
            </w:r>
          </w:p>
        </w:tc>
        <w:tc>
          <w:tcPr>
            <w:tcW w:w="57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244.8</w:t>
            </w:r>
            <w:r>
              <w:rPr>
                <w:color w:val="000000"/>
              </w:rPr>
              <w:t> </w:t>
            </w:r>
          </w:p>
        </w:tc>
        <w:tc>
          <w:tcPr>
            <w:tcW w:w="23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10.4</w:t>
            </w:r>
            <w:r>
              <w:rPr>
                <w:color w:val="000000"/>
              </w:rPr>
              <w:t>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34.1</w:t>
            </w:r>
            <w:r>
              <w:rPr>
                <w:color w:val="000000"/>
              </w:rPr>
              <w:t>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w:t>
            </w:r>
            <w:r>
              <w:rPr>
                <w:color w:val="000000"/>
              </w:rPr>
              <w:t> </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8.7</w:t>
            </w:r>
            <w:r>
              <w:rPr>
                <w:color w:val="000000"/>
              </w:rPr>
              <w:t> </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57.5</w:t>
            </w:r>
            <w:r>
              <w:rPr>
                <w:color w:val="000000"/>
              </w:rPr>
              <w:t> </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76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106.4</w:t>
            </w:r>
            <w:r>
              <w:rPr>
                <w:color w:val="000000"/>
              </w:rPr>
              <w:t> </w:t>
            </w:r>
          </w:p>
        </w:tc>
        <w:tc>
          <w:tcPr>
            <w:tcW w:w="38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41.2</w:t>
            </w:r>
            <w:r>
              <w:rPr>
                <w:color w:val="000000"/>
              </w:rPr>
              <w:t> </w:t>
            </w:r>
          </w:p>
        </w:tc>
        <w:tc>
          <w:tcPr>
            <w:tcW w:w="23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31.9</w:t>
            </w:r>
            <w:r>
              <w:rPr>
                <w:color w:val="000000"/>
              </w:rPr>
              <w:t> </w:t>
            </w:r>
          </w:p>
        </w:tc>
        <w:tc>
          <w:tcPr>
            <w:tcW w:w="35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w:t>
            </w:r>
            <w:r>
              <w:rPr>
                <w:color w:val="000000"/>
              </w:rPr>
              <w:t> </w:t>
            </w:r>
          </w:p>
        </w:tc>
        <w:tc>
          <w:tcPr>
            <w:tcW w:w="57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187.3</w:t>
            </w:r>
            <w:r>
              <w:rPr>
                <w:color w:val="000000"/>
              </w:rPr>
              <w:t> </w:t>
            </w:r>
          </w:p>
        </w:tc>
        <w:tc>
          <w:tcPr>
            <w:tcW w:w="237"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8.Other Liabilities</w:t>
      </w:r>
    </w:p>
    <w:tbl>
      <w:tblPr>
        <w:tblW w:w="6069" w:type="dxa"/>
        <w:jc w:val="left"/>
        <w:tblInd w:w="0" w:type="dxa"/>
        <w:tblLayout w:type="fixed"/>
        <w:tblCellMar>
          <w:top w:w="28" w:type="dxa"/>
          <w:left w:w="28" w:type="dxa"/>
          <w:bottom w:w="28" w:type="dxa"/>
          <w:right w:w="28" w:type="dxa"/>
        </w:tblCellMar>
      </w:tblPr>
      <w:tblGrid>
        <w:gridCol w:w="1244"/>
        <w:gridCol w:w="1093"/>
        <w:gridCol w:w="1098"/>
        <w:gridCol w:w="109"/>
        <w:gridCol w:w="109"/>
        <w:gridCol w:w="109"/>
        <w:gridCol w:w="373"/>
        <w:gridCol w:w="314"/>
        <w:gridCol w:w="316"/>
        <w:gridCol w:w="381"/>
        <w:gridCol w:w="381"/>
        <w:gridCol w:w="542"/>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31,</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Cash-settled share-based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90.6</w:t>
            </w:r>
            <w:r>
              <w:rPr>
                <w:color w:val="000000"/>
              </w:rPr>
              <w:t> </w:t>
            </w:r>
          </w:p>
        </w:tc>
        <w:tc>
          <w:tcPr>
            <w:tcW w:w="3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27.6</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118.2</w:t>
            </w:r>
            <w:r>
              <w:rPr>
                <w:color w:val="000000"/>
              </w:rPr>
              <w:t> </w:t>
            </w:r>
          </w:p>
        </w:tc>
        <w:tc>
          <w:tcPr>
            <w:tcW w:w="3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106.9 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60.0</w:t>
            </w:r>
            <w:r>
              <w:rPr>
                <w:color w:val="000000"/>
              </w:rPr>
              <w:t> </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w:t>
            </w:r>
            <w:r>
              <w:rPr>
                <w:color w:val="000000"/>
              </w:rPr>
              <w:t> </w:t>
            </w:r>
          </w:p>
        </w:tc>
        <w:tc>
          <w:tcPr>
            <w:tcW w:w="31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9.Share Capital</w:t>
      </w:r>
    </w:p>
    <w:tbl>
      <w:tblPr>
        <w:tblW w:w="8401" w:type="dxa"/>
        <w:jc w:val="left"/>
        <w:tblInd w:w="0" w:type="dxa"/>
        <w:tblLayout w:type="fixed"/>
        <w:tblCellMar>
          <w:top w:w="28" w:type="dxa"/>
          <w:left w:w="28" w:type="dxa"/>
          <w:bottom w:w="28" w:type="dxa"/>
          <w:right w:w="28" w:type="dxa"/>
        </w:tblCellMar>
      </w:tblPr>
      <w:tblGrid>
        <w:gridCol w:w="326"/>
        <w:gridCol w:w="287"/>
        <w:gridCol w:w="288"/>
        <w:gridCol w:w="110"/>
        <w:gridCol w:w="110"/>
        <w:gridCol w:w="110"/>
        <w:gridCol w:w="2093"/>
        <w:gridCol w:w="2093"/>
        <w:gridCol w:w="298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840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Authorized</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Unlimited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shares, with no par value</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Unlimited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Preferred shares issuable in series, with attributes designated by the board of directors</w:t>
            </w:r>
          </w:p>
        </w:tc>
      </w:tr>
    </w:tbl>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Common shares</w:t>
      </w:r>
    </w:p>
    <w:p>
      <w:pPr>
        <w:pStyle w:val="TextBody"/>
        <w:bidi w:val="0"/>
        <w:spacing w:lineRule="auto" w:line="288" w:before="0" w:after="0"/>
        <w:jc w:val="left"/>
        <w:rPr/>
      </w:pPr>
      <w:r>
        <w:rPr>
          <w:rFonts w:ascii="Arial;sans-serif" w:hAnsi="Arial;sans-serif"/>
          <w:b w:val="false"/>
          <w:color w:val="000000"/>
          <w:sz w:val="18"/>
        </w:rPr>
        <w:t>The Company has approval to repurchase up to</w:t>
      </w:r>
      <w:r>
        <w:rPr>
          <w:color w:val="000000"/>
          <w:shd w:fill="FFFFFF" w:val="clear"/>
        </w:rPr>
        <w:t xml:space="preserve"> </w:t>
      </w:r>
      <w:r>
        <w:rPr>
          <w:rFonts w:ascii="Arial;sans-serif" w:hAnsi="Arial;sans-serif"/>
          <w:b w:val="false"/>
          <w:color w:val="000000"/>
          <w:sz w:val="18"/>
          <w:shd w:fill="FFFFFF" w:val="clear"/>
        </w:rPr>
        <w:t>2,281,339</w:t>
      </w:r>
      <w:r>
        <w:rPr>
          <w:color w:val="000000"/>
        </w:rPr>
        <w:t xml:space="preserve"> </w:t>
      </w:r>
      <w:r>
        <w:rPr>
          <w:rFonts w:ascii="Arial;sans-serif" w:hAnsi="Arial;sans-serif"/>
          <w:b w:val="false"/>
          <w:color w:val="000000"/>
          <w:sz w:val="18"/>
        </w:rPr>
        <w:t>common shares during the period March 12, 2026 to March 11, 2027, and an Automatic Share Purchase Plan (ASPP) which allows a broker, in its sole discretion and based on the parameters established by the Company, to purchase common shares for cancellation under the Normal Course Issuer Bid (NCIB) at any time during predetermined trading blackout periods. During the first quarter of 2026 and 2025, no shares were repurchased for cancellation. As at March 31, 2026 and December 31, 2025, no liability was recorded in the Company’s consolidated statements of financial position in connection with the ASPP.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Holders of common shares are entitled to receive dividends when declared by the Company’s board of directors. The table below describes the dividends paid in 2026:</w:t>
      </w:r>
    </w:p>
    <w:tbl>
      <w:tblPr>
        <w:tblW w:w="7461" w:type="dxa"/>
        <w:jc w:val="left"/>
        <w:tblInd w:w="0" w:type="dxa"/>
        <w:tblLayout w:type="fixed"/>
        <w:tblCellMar>
          <w:top w:w="28" w:type="dxa"/>
          <w:left w:w="28" w:type="dxa"/>
          <w:bottom w:w="28" w:type="dxa"/>
          <w:right w:w="28" w:type="dxa"/>
        </w:tblCellMar>
      </w:tblPr>
      <w:tblGrid>
        <w:gridCol w:w="629"/>
        <w:gridCol w:w="554"/>
        <w:gridCol w:w="556"/>
        <w:gridCol w:w="574"/>
        <w:gridCol w:w="574"/>
        <w:gridCol w:w="577"/>
        <w:gridCol w:w="509"/>
        <w:gridCol w:w="509"/>
        <w:gridCol w:w="511"/>
        <w:gridCol w:w="579"/>
        <w:gridCol w:w="579"/>
        <w:gridCol w:w="581"/>
        <w:gridCol w:w="255"/>
        <w:gridCol w:w="256"/>
        <w:gridCol w:w="21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Dividend per Share</w:t>
            </w:r>
          </w:p>
        </w:tc>
        <w:tc>
          <w:tcPr>
            <w:tcW w:w="7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Paid</w:t>
            </w:r>
          </w:p>
        </w:tc>
      </w:tr>
      <w:tr>
        <w:trPr/>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Date Declared</w:t>
            </w:r>
          </w:p>
        </w:tc>
        <w:tc>
          <w:tcPr>
            <w:tcW w:w="172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Record Date</w:t>
            </w:r>
          </w:p>
        </w:tc>
        <w:tc>
          <w:tcPr>
            <w:tcW w:w="15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Payment Date</w:t>
            </w:r>
          </w:p>
        </w:tc>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73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13, 2025</w:t>
            </w:r>
          </w:p>
        </w:tc>
        <w:tc>
          <w:tcPr>
            <w:tcW w:w="172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152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January 15, 2026</w:t>
            </w:r>
          </w:p>
        </w:tc>
        <w:tc>
          <w:tcPr>
            <w:tcW w:w="115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0.225 </w:t>
            </w:r>
          </w:p>
        </w:tc>
        <w:tc>
          <w:tcPr>
            <w:tcW w:w="58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1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25, 2026</w:t>
            </w:r>
          </w:p>
        </w:tc>
        <w:tc>
          <w:tcPr>
            <w:tcW w:w="1725"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1529"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15, 2026</w:t>
            </w:r>
          </w:p>
        </w:tc>
        <w:tc>
          <w:tcPr>
            <w:tcW w:w="1158"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0.245 </w:t>
            </w:r>
          </w:p>
        </w:tc>
        <w:tc>
          <w:tcPr>
            <w:tcW w:w="58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March 31, 2026, trade and other payables included $27.9 related to the dividends declared on February 25, 2026.</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40815"/>
                <wp:effectExtent l="0" t="0" r="0" b="0"/>
                <wp:wrapNone/>
                <wp:docPr id="34" name="Frame34"/>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Share-based payment transactions</w:t>
      </w:r>
    </w:p>
    <w:p>
      <w:pPr>
        <w:pStyle w:val="TextBody"/>
        <w:bidi w:val="0"/>
        <w:spacing w:lineRule="auto" w:line="288" w:before="0" w:after="0"/>
        <w:jc w:val="left"/>
        <w:rPr/>
      </w:pPr>
      <w:r>
        <w:rPr>
          <w:rFonts w:ascii="Arial;sans-serif" w:hAnsi="Arial;sans-serif"/>
          <w:b w:val="false"/>
          <w:color w:val="000000"/>
          <w:sz w:val="18"/>
          <w:shd w:fill="FFFFFF" w:val="clear"/>
        </w:rPr>
        <w:t xml:space="preserve">During the </w:t>
      </w:r>
      <w:r>
        <w:rPr>
          <w:rFonts w:ascii="Arial;sans-serif" w:hAnsi="Arial;sans-serif"/>
          <w:b w:val="false"/>
          <w:color w:val="000000"/>
          <w:sz w:val="18"/>
        </w:rPr>
        <w:t>first quarter</w:t>
      </w:r>
      <w:r>
        <w:rPr>
          <w:color w:val="000000"/>
          <w:shd w:fill="FFFFFF" w:val="clear"/>
        </w:rPr>
        <w:t xml:space="preserve"> </w:t>
      </w:r>
      <w:r>
        <w:rPr>
          <w:rFonts w:ascii="Arial;sans-serif" w:hAnsi="Arial;sans-serif"/>
          <w:b w:val="false"/>
          <w:color w:val="000000"/>
          <w:sz w:val="18"/>
          <w:shd w:fill="FFFFFF" w:val="clear"/>
        </w:rPr>
        <w:t>of 2026, the Company recognized a net share-based compensation expense of $</w:t>
      </w:r>
      <w:r>
        <w:rPr>
          <w:rFonts w:ascii="Arial;sans-serif" w:hAnsi="Arial;sans-serif"/>
          <w:b w:val="false"/>
          <w:color w:val="000000"/>
          <w:sz w:val="18"/>
        </w:rPr>
        <w:t xml:space="preserve">14.1 </w:t>
      </w:r>
      <w:r>
        <w:rPr>
          <w:rFonts w:ascii="Arial;sans-serif" w:hAnsi="Arial;sans-serif"/>
          <w:b w:val="false"/>
          <w:color w:val="000000"/>
          <w:sz w:val="18"/>
          <w:shd w:fill="FFFFFF" w:val="clear"/>
        </w:rPr>
        <w:t>(March 31, 2025 - $</w:t>
      </w:r>
      <w:r>
        <w:rPr>
          <w:rFonts w:ascii="Arial;sans-serif" w:hAnsi="Arial;sans-serif"/>
          <w:b w:val="false"/>
          <w:color w:val="000000"/>
          <w:sz w:val="18"/>
        </w:rPr>
        <w:t>12.0</w:t>
      </w:r>
      <w:r>
        <w:rPr>
          <w:rFonts w:ascii="Arial;sans-serif" w:hAnsi="Arial;sans-serif"/>
          <w:b w:val="false"/>
          <w:color w:val="000000"/>
          <w:sz w:val="18"/>
          <w:shd w:fill="FFFFFF" w:val="clear"/>
        </w:rPr>
        <w:t>) in administrative and marketing expenses in the consolidated statements of income, comprised of</w:t>
      </w:r>
      <w:r>
        <w:rPr>
          <w:color w:val="000000"/>
        </w:rPr>
        <w:t xml:space="preserve"> </w:t>
      </w:r>
      <w:r>
        <w:rPr>
          <w:rFonts w:ascii="Arial;sans-serif" w:hAnsi="Arial;sans-serif"/>
          <w:b w:val="false"/>
          <w:color w:val="000000"/>
          <w:sz w:val="18"/>
          <w:shd w:fill="FFFFFF" w:val="clear"/>
        </w:rPr>
        <w:t xml:space="preserve">share-based compensation </w:t>
      </w:r>
      <w:r>
        <w:rPr>
          <w:rFonts w:ascii="Arial;sans-serif" w:hAnsi="Arial;sans-serif"/>
          <w:b w:val="false"/>
          <w:color w:val="000000"/>
          <w:sz w:val="18"/>
        </w:rPr>
        <w:t>expense</w:t>
      </w:r>
      <w:r>
        <w:rPr>
          <w:color w:val="000000"/>
          <w:shd w:fill="FFFFFF" w:val="clear"/>
        </w:rPr>
        <w:t xml:space="preserve"> </w:t>
      </w:r>
      <w:r>
        <w:rPr>
          <w:rFonts w:ascii="Arial;sans-serif" w:hAnsi="Arial;sans-serif"/>
          <w:b w:val="false"/>
          <w:color w:val="000000"/>
          <w:sz w:val="18"/>
          <w:shd w:fill="FFFFFF" w:val="clear"/>
        </w:rPr>
        <w:t>of $</w:t>
      </w:r>
      <w:r>
        <w:rPr>
          <w:rFonts w:ascii="Arial;sans-serif" w:hAnsi="Arial;sans-serif"/>
          <w:b w:val="false"/>
          <w:color w:val="000000"/>
          <w:sz w:val="18"/>
        </w:rPr>
        <w:t>9.7</w:t>
      </w:r>
      <w:r>
        <w:rPr>
          <w:color w:val="000000"/>
          <w:shd w:fill="FFFFFF" w:val="clear"/>
        </w:rPr>
        <w:t xml:space="preserve"> </w:t>
      </w:r>
      <w:r>
        <w:rPr>
          <w:rFonts w:ascii="Arial;sans-serif" w:hAnsi="Arial;sans-serif"/>
          <w:b w:val="false"/>
          <w:color w:val="000000"/>
          <w:sz w:val="18"/>
          <w:shd w:fill="FFFFFF" w:val="clear"/>
        </w:rPr>
        <w:t>(March 31, 2025 - $</w:t>
      </w:r>
      <w:r>
        <w:rPr>
          <w:rFonts w:ascii="Arial;sans-serif" w:hAnsi="Arial;sans-serif"/>
          <w:b w:val="false"/>
          <w:color w:val="000000"/>
          <w:sz w:val="18"/>
        </w:rPr>
        <w:t>17.2)</w:t>
      </w:r>
      <w:r>
        <w:rPr>
          <w:color w:val="000000"/>
          <w:shd w:fill="FFFFFF" w:val="clear"/>
        </w:rPr>
        <w:t xml:space="preserve"> </w:t>
      </w:r>
      <w:r>
        <w:rPr>
          <w:rFonts w:ascii="Arial;sans-serif" w:hAnsi="Arial;sans-serif"/>
          <w:b w:val="false"/>
          <w:color w:val="000000"/>
          <w:sz w:val="18"/>
          <w:shd w:fill="FFFFFF" w:val="clear"/>
        </w:rPr>
        <w:t>and a hedge impact of $</w:t>
      </w:r>
      <w:r>
        <w:rPr>
          <w:rFonts w:ascii="Arial;sans-serif" w:hAnsi="Arial;sans-serif"/>
          <w:b w:val="false"/>
          <w:color w:val="000000"/>
          <w:sz w:val="18"/>
        </w:rPr>
        <w:t>4.4</w:t>
      </w:r>
      <w:r>
        <w:rPr>
          <w:color w:val="000000"/>
          <w:shd w:fill="FFFFFF" w:val="clear"/>
        </w:rPr>
        <w:t xml:space="preserve"> </w:t>
      </w:r>
      <w:r>
        <w:rPr>
          <w:rFonts w:ascii="Arial;sans-serif" w:hAnsi="Arial;sans-serif"/>
          <w:b w:val="false"/>
          <w:color w:val="000000"/>
          <w:sz w:val="18"/>
          <w:shd w:fill="FFFFFF" w:val="clear"/>
        </w:rPr>
        <w:t>(March 31, 2025 - offset by a hedge impact of $</w:t>
      </w:r>
      <w:r>
        <w:rPr>
          <w:rFonts w:ascii="Arial;sans-serif" w:hAnsi="Arial;sans-serif"/>
          <w:b w:val="false"/>
          <w:color w:val="000000"/>
          <w:sz w:val="18"/>
        </w:rPr>
        <w:t>5.2</w:t>
      </w:r>
      <w:r>
        <w:rPr>
          <w:rFonts w:ascii="Arial;sans-serif" w:hAnsi="Arial;sans-serif"/>
          <w:b w:val="false"/>
          <w:color w:val="000000"/>
          <w:sz w:val="18"/>
          <w:shd w:fill="FFFFFF" w:val="clear"/>
        </w:rPr>
        <w:t xml:space="preserve">) (note 11).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10.</w:t>
      </w:r>
      <w:r>
        <w:rPr>
          <w:color w:val="000000"/>
        </w:rPr>
        <w:t xml:space="preserve"> </w:t>
      </w:r>
      <w:r>
        <w:rPr>
          <w:rFonts w:ascii="Amasis MT Pro;serif" w:hAnsi="Amasis MT Pro;serif"/>
          <w:b w:val="false"/>
          <w:color w:val="000000"/>
          <w:sz w:val="28"/>
        </w:rPr>
        <w:t>Fair Value Measurements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financial instruments carried at fair value are categorized into one of the following: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Level 1 – quoted market prices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Level 2 – valuation techniques (market observable)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Level 3 – valuation techniques (non-market observable)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When forming estimates, the Company uses the most observable inputs available for valuation purposes. If a fair value measurement reflects inputs of different levels within the hierarchy, the financial instrument is categorized based on the lowest level of significant input.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When determining fair value, the Company considers the principal or most advantageous market in which it would transact and the assumptions that market participants would use when pricing the asset or liability. The Company measures certain financial assets and liabilities at fair value on a recurring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financial instruments recognized at fair value on a recurring basis, the Company determines whether transfers have occurred between levels in the hierarchy by reassessing categorizations at the end of each reporting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first quarter of 2026, no changes were made to the method of determining fair value and no transfers were made between levels of the hierarchy.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summarize the Company’s fair value hierarchy for those assets and liabilities measured and adjusted to fair value on a recurring basis:</w:t>
      </w:r>
    </w:p>
    <w:tbl>
      <w:tblPr>
        <w:tblW w:w="7477" w:type="dxa"/>
        <w:jc w:val="left"/>
        <w:tblInd w:w="0" w:type="dxa"/>
        <w:tblLayout w:type="fixed"/>
        <w:tblCellMar>
          <w:top w:w="28" w:type="dxa"/>
          <w:left w:w="28" w:type="dxa"/>
          <w:bottom w:w="28" w:type="dxa"/>
          <w:right w:w="28" w:type="dxa"/>
        </w:tblCellMar>
      </w:tblPr>
      <w:tblGrid>
        <w:gridCol w:w="1276"/>
        <w:gridCol w:w="1122"/>
        <w:gridCol w:w="1126"/>
        <w:gridCol w:w="180"/>
        <w:gridCol w:w="180"/>
        <w:gridCol w:w="181"/>
        <w:gridCol w:w="308"/>
        <w:gridCol w:w="308"/>
        <w:gridCol w:w="286"/>
        <w:gridCol w:w="239"/>
        <w:gridCol w:w="239"/>
        <w:gridCol w:w="241"/>
        <w:gridCol w:w="308"/>
        <w:gridCol w:w="308"/>
        <w:gridCol w:w="241"/>
        <w:gridCol w:w="338"/>
        <w:gridCol w:w="278"/>
        <w:gridCol w:w="318"/>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Carrying</w:t>
              <w:br/>
              <w:t>Amount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1</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2</w:t>
            </w:r>
          </w:p>
        </w:tc>
        <w:tc>
          <w:tcPr>
            <w:tcW w:w="93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3</w:t>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At March 31, 2026</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3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3524"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541"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Investments held for self-insured liabilities</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5,11</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w:t>
            </w:r>
          </w:p>
        </w:tc>
        <w:tc>
          <w:tcPr>
            <w:tcW w:w="54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342.3 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342.3 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8,11</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December 31, 2025</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Investments held for self-insured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5,11</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8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4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Investments held for self-insured liabilities consist of government and corporate bonds and equity securities. Fair value of bonds is determined using observable prices of debt with characteristics and maturities that are similar to the bonds being valued. Fair value of equities is determined using the reported net asset value per share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40815"/>
                <wp:effectExtent l="0" t="0" r="0" b="0"/>
                <wp:wrapNone/>
                <wp:docPr id="35" name="Frame35"/>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investment funds. The funds derive their value from observable quoted prices of the equities owned that are traded in an active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fair value of notes payable includes a forfeiture assumption which is not based on observable market data and as such, the valuation method is classified as level 3 in the fair value hierarchy. The forfeiture assumption is based on historical forfeiture experience, which has not been significant. For payments with terms greater than one year, the estimated liability is discounted using market rates of interest.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summarize the Company’s fair value hierarchy for those liabilities that were not measured at fair value but are required to be disclosed at fair value on a recurring basis:</w:t>
      </w:r>
    </w:p>
    <w:tbl>
      <w:tblPr>
        <w:tblW w:w="5763" w:type="dxa"/>
        <w:jc w:val="left"/>
        <w:tblInd w:w="0" w:type="dxa"/>
        <w:tblLayout w:type="fixed"/>
        <w:tblCellMar>
          <w:top w:w="28" w:type="dxa"/>
          <w:left w:w="28" w:type="dxa"/>
          <w:bottom w:w="28" w:type="dxa"/>
          <w:right w:w="28" w:type="dxa"/>
        </w:tblCellMar>
      </w:tblPr>
      <w:tblGrid>
        <w:gridCol w:w="750"/>
        <w:gridCol w:w="659"/>
        <w:gridCol w:w="661"/>
        <w:gridCol w:w="150"/>
        <w:gridCol w:w="150"/>
        <w:gridCol w:w="151"/>
        <w:gridCol w:w="308"/>
        <w:gridCol w:w="308"/>
        <w:gridCol w:w="286"/>
        <w:gridCol w:w="239"/>
        <w:gridCol w:w="239"/>
        <w:gridCol w:w="241"/>
        <w:gridCol w:w="308"/>
        <w:gridCol w:w="308"/>
        <w:gridCol w:w="241"/>
        <w:gridCol w:w="223"/>
        <w:gridCol w:w="223"/>
        <w:gridCol w:w="318"/>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Carrying</w:t>
              <w:br/>
              <w:t>Amount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1</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2</w:t>
            </w:r>
          </w:p>
        </w:tc>
        <w:tc>
          <w:tcPr>
            <w:tcW w:w="76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3</w:t>
            </w:r>
          </w:p>
        </w:tc>
      </w:tr>
      <w:tr>
        <w:trPr/>
        <w:tc>
          <w:tcPr>
            <w:tcW w:w="2070"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At March 31, 2026</w:t>
            </w:r>
          </w:p>
        </w:tc>
        <w:tc>
          <w:tcPr>
            <w:tcW w:w="4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w:t>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6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2070" w:type="dxa"/>
            <w:gridSpan w:val="3"/>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unsecured notes</w:t>
            </w:r>
          </w:p>
        </w:tc>
        <w:tc>
          <w:tcPr>
            <w:tcW w:w="451" w:type="dxa"/>
            <w:gridSpan w:val="3"/>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16"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971.8 </w:t>
            </w:r>
          </w:p>
        </w:tc>
        <w:tc>
          <w:tcPr>
            <w:tcW w:w="286"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986.0 </w:t>
            </w:r>
          </w:p>
        </w:tc>
        <w:tc>
          <w:tcPr>
            <w:tcW w:w="241"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08"/>
        <w:gridCol w:w="308"/>
        <w:gridCol w:w="109"/>
        <w:gridCol w:w="203"/>
        <w:gridCol w:w="203"/>
        <w:gridCol w:w="109"/>
        <w:gridCol w:w="308"/>
        <w:gridCol w:w="308"/>
        <w:gridCol w:w="109"/>
        <w:gridCol w:w="203"/>
        <w:gridCol w:w="203"/>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unsecured notes</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971.6 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979.4 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senior unsecured notes is determined by calculating the present value of future payments using observable benchmark interest rates and credit spreads for debt with similar characteristics and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11.Financial Instruments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Total return swaps on share-based compensation units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has total return swap (TRS) agreements with financial institutions to manage its exposure to changes in the fair value of the Company's shares for certain cash-settled share-based payment obligations. The Company has designated the TRSs related to its restricted share units (RSUs) as a cash flow hedge, with a notional amount of $31.7 maturing between 2026 and 2028. The fair value of the TRSs are based on the difference between the hedged price and the fair value of the Company’s common shares and are recorded in other assets and other liabilities (notes 5 and 8).</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As at </w:t>
      </w:r>
      <w:r>
        <w:rPr>
          <w:rFonts w:ascii="Arial;sans-serif" w:hAnsi="Arial;sans-serif"/>
          <w:b w:val="false"/>
          <w:color w:val="000000"/>
          <w:sz w:val="18"/>
          <w:shd w:fill="FFFFFF" w:val="clear"/>
        </w:rPr>
        <w:t>March 31, 2026</w:t>
      </w:r>
      <w:r>
        <w:rPr>
          <w:rFonts w:ascii="Arial;sans-serif" w:hAnsi="Arial;sans-serif"/>
          <w:b w:val="false"/>
          <w:color w:val="000000"/>
          <w:sz w:val="18"/>
        </w:rPr>
        <w:t xml:space="preserve">, the TRSs related to the Company's RSUs had a fair value of $3.4 (December 31, 2025 - $6.1). During the first quarter of 2026, a loss of $2.7 ($2.0 net of tax) (March 31, 2025 - gain of $2.1 ($1.6 net of tax)) was recognized in other comprehensive income and a loss of $1.2 (March 31, 2025 - gain of $2.3) was reclassified to the consolidated statements of income in administrative and marketing expenses. The TRSs related to the Company's performance share units (PSUs) and deferred share units (DSUs), for which hedge accounting was not applied, had an aggregate fair value of $3.8 at </w:t>
      </w:r>
      <w:r>
        <w:rPr>
          <w:rFonts w:ascii="Arial;sans-serif" w:hAnsi="Arial;sans-serif"/>
          <w:b w:val="false"/>
          <w:color w:val="000000"/>
          <w:sz w:val="18"/>
          <w:shd w:fill="FFFFFF" w:val="clear"/>
        </w:rPr>
        <w:t>March 31, 2026</w:t>
      </w:r>
      <w:r>
        <w:rPr>
          <w:color w:val="000000"/>
        </w:rPr>
        <w:t xml:space="preserve"> </w:t>
      </w:r>
      <w:r>
        <w:rPr>
          <w:rFonts w:ascii="Arial;sans-serif" w:hAnsi="Arial;sans-serif"/>
          <w:b w:val="false"/>
          <w:color w:val="000000"/>
          <w:sz w:val="18"/>
        </w:rPr>
        <w:t>(December 31, 2025 - $7.0) and a net unrealized loss of $3.2 (March 31, 2025 – net unrealized gain of $2.9) which was recognized in administrative and marketing expenses in the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Credit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Assets that subject the Company to credit risk consist primarily of cash and cash equivalents, trade and other receivables, unbilled receivables, contract assets, investments held for self-insured liabilities, holdbacks on long-term contracts, and other financial assets. The Company’s maximum amount of credit risk exposure is limited to the carrying amount of these assets, which at March 31, 2026, was $2,898.7 (December 31, 2025 – $2,873.7).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limits its exposure to credit risk by placing its cash and cash equivalents in high-quality credit institutions. Investments held for self-insured liabilities include corporate bonds and equity securities. The Company believes the risk associated with corporate bonds and equity securities is mitigated by the overall quality and mix of the Company’s investment portfolio. Virtually all bonds held by the Company are investment grade, and none are past due. The Company monitors changes in credit risk by tracking published external credit ratings.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mitigates the risk associated with trade and other receivables, unbilled receivables, contract assets, and holdbacks on long-term contracts by providing services to diverse clients in various industries and sectors of the economy. In addition, management reviews trade and other receivables past due on an ongoing basis to identify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40815"/>
                <wp:effectExtent l="0" t="0" r="0" b="0"/>
                <wp:wrapNone/>
                <wp:docPr id="36" name="Frame36"/>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matters that could potentially delay the collection of funds at an early stage. The Company does not concentrate its credit risk in any particular client, industry, or economic sector.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monitors trade receivables to an internal target of days of revenue in trade receivables. At March 31, 2026, the days of revenue in trade receivables was 58 days (December 31, 2025 – 55 days).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Price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investments held for self-insured liabilities are exposed to price risk arising from changes in the market values of the equity securities. This risk is mitigated because the portfolio of equity funds is monitored regularly and appropriately diversified. For the Company's investments held for self-insured liabilities, a 5% increase or decrease in equity prices at March 31, 2026, would increase or decrease the Company’s net income by $2.5 (March 31, 2025 - $2.8),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is also exposed to changes in its share price arising from its cash-settled share-based payments as the Company's obligation under these arrangements are based on the price of the Company's shares. The Company mitigates a portion of its exposure to this risk for its PSUs, RSUs, and DSUs by entering into TRSs.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Liquidity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meets its liquidity needs through various sources, including cash generated from operations, issuing senior unsecured notes, borrowings from its $1.2 billion senior revolving credit facility, US$100 bilateral revolving credit facility, term loan and bilateral facilities, multicurrency and overdraft credit facilities, and the issuance of common shares. The unused capacity of the credit facilities at March 31, 2026, was $1,265.3 (December 31, 2025 – $1,325.4) and the Company also has access to additional funds of $600 under its syndicated credit facilities (note 6). The Company believes that it has sufficient resources to meet obligations associated with its financial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Interest rate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is subject to interest rate cash flow risk to the extent that its credit and term loan facilities are based on floating interest rates. The Company is also subject to interest rate pricing risk to the extent that its investments held for self-insured liabilities include fixed-rate government and corporate bonds. If the interest rate on the Company’s credit and term loan facilities at March 31, 2026, was 1% higher or lower, with all other variables held constant, net income would decrease or increase by $1.0 (March 31, 2025 - $1.4),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Foreign exchange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exchange risk is the risk that the fair value of the future cash flows of a financial instrument will fluctuate because of changes in foreign exchange rates. Foreign exchange gains or losses in net income arise on the translation of foreign currency-denominated assets and liabilities (such as trade and other receivables, bank indebtedness, trade and other payables, and long-term debt) held in the Company's Canadian operations and foreign subsidiaries. The Company manages its exposure to foreign exchange fluctuations on these items by matching foreign currency assets with foreign currency liabilities and through the use of foreign currency forward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exchange fluctuations may also arise on the translation of foreign subsidiaries, where the functional currency is different from the Canadian dollar, and are recorded in other comprehensive income. During the first quarter of 2026, the Company recorded exchange differences on translation of foreign operations of $55.4 through other comprehensive income (loss), of which $41.8 related to goodwill. The Company does not hedge for this foreign exchange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40815"/>
                <wp:effectExtent l="0" t="0" r="0" b="0"/>
                <wp:wrapNone/>
                <wp:docPr id="37" name="Frame37"/>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12.Employee Costs</w:t>
      </w:r>
    </w:p>
    <w:tbl>
      <w:tblPr>
        <w:tblW w:w="6211" w:type="dxa"/>
        <w:jc w:val="left"/>
        <w:tblInd w:w="0" w:type="dxa"/>
        <w:tblLayout w:type="fixed"/>
        <w:tblCellMar>
          <w:top w:w="28" w:type="dxa"/>
          <w:left w:w="28" w:type="dxa"/>
          <w:bottom w:w="28" w:type="dxa"/>
          <w:right w:w="28" w:type="dxa"/>
        </w:tblCellMar>
      </w:tblPr>
      <w:tblGrid>
        <w:gridCol w:w="971"/>
        <w:gridCol w:w="855"/>
        <w:gridCol w:w="859"/>
        <w:gridCol w:w="180"/>
        <w:gridCol w:w="180"/>
        <w:gridCol w:w="181"/>
        <w:gridCol w:w="109"/>
        <w:gridCol w:w="466"/>
        <w:gridCol w:w="466"/>
        <w:gridCol w:w="466"/>
        <w:gridCol w:w="475"/>
        <w:gridCol w:w="383"/>
        <w:gridCol w:w="383"/>
        <w:gridCol w:w="237"/>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1003" w:type="dxa"/>
            <w:gridSpan w:val="3"/>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Wages, salaries, and benefits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1,231.7</w:t>
            </w:r>
            <w:r>
              <w:rPr>
                <w:color w:val="000000"/>
              </w:rPr>
              <w:t> </w:t>
            </w:r>
          </w:p>
        </w:tc>
        <w:tc>
          <w:tcPr>
            <w:tcW w:w="4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1,125.3 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costs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36.7</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share-based compensation</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14.1</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employee costs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1,282.5</w:t>
            </w:r>
            <w:r>
              <w:rPr>
                <w:color w:val="000000"/>
              </w:rPr>
              <w:t> </w:t>
            </w:r>
          </w:p>
        </w:tc>
        <w:tc>
          <w:tcPr>
            <w:tcW w:w="475"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1,170.7 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labor</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780.2</w:t>
            </w:r>
            <w:r>
              <w:rPr>
                <w:color w:val="000000"/>
              </w:rPr>
              <w:t> </w:t>
            </w:r>
          </w:p>
        </w:tc>
        <w:tc>
          <w:tcPr>
            <w:tcW w:w="475"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709.5 </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Indirect labor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502.3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employee costs</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1,282.5</w:t>
            </w:r>
            <w:r>
              <w:rPr>
                <w:color w:val="000000"/>
              </w:rPr>
              <w:t> </w:t>
            </w:r>
          </w:p>
        </w:tc>
        <w:tc>
          <w:tcPr>
            <w:tcW w:w="47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1,170.7 </w:t>
            </w:r>
          </w:p>
        </w:tc>
        <w:tc>
          <w:tcPr>
            <w:tcW w:w="23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Direct labor costs include salaries, wages, and related fringe benefits (including pension costs) for labor hours directly associated with the completion of projects. Bonuses, share-based compensation, termination payments, and salaries, wages, and related fringe benefits (including pension costs) for labor hours not directly associated with the completion of projects are included in indirect labor costs. Indirect labor costs are included in administrative and marketing expenses in the consolidated statements of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Employee defined benefit plans - conversion of bulk annuity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February 2026, the Company converted its bulk buy-in annuity policy for a section of the UK pension scheme into buy-out annuity contracts. This conversion settled $103.1 of the Company’s defined benefit obligation and reduced the related plan assets by an equal amount. As a result, there was no net impact on the Company’s net employee defined benefit asset, net income, other comprehensive income, or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13.Net Interest Expense and Other Net Finance Expense</w:t>
      </w:r>
    </w:p>
    <w:tbl>
      <w:tblPr>
        <w:tblW w:w="7587" w:type="dxa"/>
        <w:jc w:val="left"/>
        <w:tblInd w:w="0" w:type="dxa"/>
        <w:tblLayout w:type="fixed"/>
        <w:tblCellMar>
          <w:top w:w="28" w:type="dxa"/>
          <w:left w:w="28" w:type="dxa"/>
          <w:bottom w:w="28" w:type="dxa"/>
          <w:right w:w="28" w:type="dxa"/>
        </w:tblCellMar>
      </w:tblPr>
      <w:tblGrid>
        <w:gridCol w:w="1640"/>
        <w:gridCol w:w="1442"/>
        <w:gridCol w:w="1448"/>
        <w:gridCol w:w="109"/>
        <w:gridCol w:w="109"/>
        <w:gridCol w:w="109"/>
        <w:gridCol w:w="109"/>
        <w:gridCol w:w="466"/>
        <w:gridCol w:w="466"/>
        <w:gridCol w:w="466"/>
        <w:gridCol w:w="475"/>
        <w:gridCol w:w="255"/>
        <w:gridCol w:w="256"/>
        <w:gridCol w:w="237"/>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748" w:type="dxa"/>
            <w:gridSpan w:val="3"/>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7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net 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23.8</w:t>
            </w:r>
            <w:r>
              <w:rPr>
                <w:color w:val="000000"/>
              </w:rPr>
              <w:t> </w:t>
            </w:r>
          </w:p>
        </w:tc>
        <w:tc>
          <w:tcPr>
            <w:tcW w:w="4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net finance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interest expense and other net finance expense</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24.1</w:t>
            </w:r>
            <w:r>
              <w:rPr>
                <w:color w:val="000000"/>
              </w:rPr>
              <w:t> </w:t>
            </w:r>
          </w:p>
        </w:tc>
        <w:tc>
          <w:tcPr>
            <w:tcW w:w="47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3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Interest expense on the Company’s long-term debt and bank indebtedness for the first quarter of 2026 was $19.6 (March 31, 2025 – $15.5) (note 6). Interest on lease liabilities during the first quarter of 2026 was $8.7 (March 31, 2025 - $7.4).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40815"/>
                <wp:effectExtent l="0" t="0" r="0" b="0"/>
                <wp:wrapNone/>
                <wp:docPr id="38" name="Frame38"/>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14.Other Expense</w:t>
      </w:r>
    </w:p>
    <w:tbl>
      <w:tblPr>
        <w:tblW w:w="5713" w:type="dxa"/>
        <w:jc w:val="left"/>
        <w:tblInd w:w="0" w:type="dxa"/>
        <w:tblLayout w:type="fixed"/>
        <w:tblCellMar>
          <w:top w:w="28" w:type="dxa"/>
          <w:left w:w="28" w:type="dxa"/>
          <w:bottom w:w="28" w:type="dxa"/>
          <w:right w:w="28" w:type="dxa"/>
        </w:tblCellMar>
      </w:tblPr>
      <w:tblGrid>
        <w:gridCol w:w="1092"/>
        <w:gridCol w:w="960"/>
        <w:gridCol w:w="962"/>
        <w:gridCol w:w="109"/>
        <w:gridCol w:w="466"/>
        <w:gridCol w:w="466"/>
        <w:gridCol w:w="466"/>
        <w:gridCol w:w="475"/>
        <w:gridCol w:w="239"/>
        <w:gridCol w:w="241"/>
        <w:gridCol w:w="237"/>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717" w:type="dxa"/>
            <w:gridSpan w:val="3"/>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7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Realized gain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(5.5)</w:t>
            </w:r>
          </w:p>
        </w:tc>
        <w:tc>
          <w:tcPr>
            <w:tcW w:w="4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Unrealized loss on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7.9</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(2.1)</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0.3</w:t>
            </w:r>
            <w:r>
              <w:rPr>
                <w:color w:val="000000"/>
              </w:rPr>
              <w:t> </w:t>
            </w:r>
          </w:p>
        </w:tc>
        <w:tc>
          <w:tcPr>
            <w:tcW w:w="47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 xml:space="preserve">15.Cash Flow Information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reconciliation of liabilities arising from financing activities for the quarter ended March 31, 2026, is as follows: </w:t>
      </w:r>
    </w:p>
    <w:tbl>
      <w:tblPr>
        <w:tblW w:w="10205" w:type="dxa"/>
        <w:jc w:val="left"/>
        <w:tblInd w:w="0" w:type="dxa"/>
        <w:tblLayout w:type="fixed"/>
        <w:tblCellMar>
          <w:top w:w="28" w:type="dxa"/>
          <w:left w:w="28" w:type="dxa"/>
          <w:bottom w:w="28" w:type="dxa"/>
          <w:right w:w="28" w:type="dxa"/>
        </w:tblCellMar>
      </w:tblPr>
      <w:tblGrid>
        <w:gridCol w:w="769"/>
        <w:gridCol w:w="517"/>
        <w:gridCol w:w="519"/>
        <w:gridCol w:w="548"/>
        <w:gridCol w:w="548"/>
        <w:gridCol w:w="550"/>
        <w:gridCol w:w="609"/>
        <w:gridCol w:w="609"/>
        <w:gridCol w:w="611"/>
        <w:gridCol w:w="315"/>
        <w:gridCol w:w="316"/>
        <w:gridCol w:w="266"/>
        <w:gridCol w:w="595"/>
        <w:gridCol w:w="595"/>
        <w:gridCol w:w="596"/>
        <w:gridCol w:w="412"/>
        <w:gridCol w:w="402"/>
        <w:gridCol w:w="404"/>
        <w:gridCol w:w="390"/>
        <w:gridCol w:w="391"/>
        <w:gridCol w:w="243"/>
      </w:tblGrid>
      <w:tr>
        <w:trPr/>
        <w:tc>
          <w:tcPr>
            <w:tcW w:w="7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Senior Unsecured Notes</w:t>
            </w:r>
          </w:p>
        </w:tc>
        <w:tc>
          <w:tcPr>
            <w:tcW w:w="1829"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Revolving Credit, </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Term Loan, Bilateral Facilities</w:t>
            </w:r>
          </w:p>
        </w:tc>
        <w:tc>
          <w:tcPr>
            <w:tcW w:w="8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Notes</w:t>
              <w:br/>
              <w:t>Payable</w:t>
            </w:r>
          </w:p>
        </w:tc>
        <w:tc>
          <w:tcPr>
            <w:tcW w:w="17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Other Financing Obligations</w:t>
            </w:r>
          </w:p>
        </w:tc>
        <w:tc>
          <w:tcPr>
            <w:tcW w:w="121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Lease Liabilities</w:t>
            </w:r>
          </w:p>
        </w:tc>
        <w:tc>
          <w:tcPr>
            <w:tcW w:w="10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8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7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w:t>
            </w:r>
          </w:p>
        </w:tc>
        <w:tc>
          <w:tcPr>
            <w:tcW w:w="121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80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January 1, 2026</w:t>
            </w:r>
          </w:p>
        </w:tc>
        <w:tc>
          <w:tcPr>
            <w:tcW w:w="109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971.6</w:t>
            </w:r>
            <w:r>
              <w:rPr>
                <w:color w:val="000000"/>
              </w:rPr>
              <w:t> </w:t>
            </w:r>
          </w:p>
        </w:tc>
        <w:tc>
          <w:tcPr>
            <w:tcW w:w="55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423.5</w:t>
            </w:r>
            <w:r>
              <w:rPr>
                <w:color w:val="000000"/>
              </w:rPr>
              <w:t> </w:t>
            </w:r>
          </w:p>
        </w:tc>
        <w:tc>
          <w:tcPr>
            <w:tcW w:w="6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364.7</w:t>
            </w:r>
            <w:r>
              <w:rPr>
                <w:color w:val="000000"/>
              </w:rPr>
              <w:t> </w:t>
            </w:r>
          </w:p>
        </w:tc>
        <w:tc>
          <w:tcPr>
            <w:tcW w:w="26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58.5</w:t>
            </w:r>
            <w:r>
              <w:rPr>
                <w:color w:val="000000"/>
              </w:rPr>
              <w:t> </w:t>
            </w:r>
          </w:p>
        </w:tc>
        <w:tc>
          <w:tcPr>
            <w:tcW w:w="59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699.0</w:t>
            </w:r>
            <w:r>
              <w:rPr>
                <w:color w:val="000000"/>
              </w:rPr>
              <w:t> </w:t>
            </w:r>
          </w:p>
        </w:tc>
        <w:tc>
          <w:tcPr>
            <w:tcW w:w="404"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2,517.3</w:t>
            </w:r>
            <w:r>
              <w:rPr>
                <w:color w:val="000000"/>
              </w:rPr>
              <w:t> </w:t>
            </w:r>
          </w:p>
        </w:tc>
        <w:tc>
          <w:tcPr>
            <w:tcW w:w="243"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Statement of cash flows</w:t>
            </w:r>
          </w:p>
        </w:tc>
        <w:tc>
          <w:tcPr>
            <w:tcW w:w="164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proceeds (repayments)</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74.0</w:t>
            </w: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(27.5)</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(30.0)</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(41.9)</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(25.4)</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Non-cash changes</w:t>
            </w:r>
          </w:p>
        </w:tc>
        <w:tc>
          <w:tcPr>
            <w:tcW w:w="164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w:t>
            </w:r>
            <w:r>
              <w:rPr>
                <w:color w:val="000000"/>
              </w:rPr>
              <w:t> </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0.4</w:t>
            </w:r>
            <w:r>
              <w:rPr>
                <w:color w:val="000000"/>
              </w:rPr>
              <w:t> </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7.3</w:t>
            </w:r>
            <w:r>
              <w:rPr>
                <w:color w:val="000000"/>
              </w:rPr>
              <w:t> </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12.4</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and modifications</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w:t>
            </w:r>
            <w:r>
              <w:rPr>
                <w:color w:val="000000"/>
              </w:rPr>
              <w:t> </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62.8</w:t>
            </w:r>
            <w:r>
              <w:rPr>
                <w:color w:val="000000"/>
              </w:rPr>
              <w:t> </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64.7</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0.2</w:t>
            </w: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0.2</w:t>
            </w: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0.4</w:t>
            </w:r>
            <w:r>
              <w:rPr>
                <w:color w:val="000000"/>
              </w:rPr>
              <w:t> </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0.2</w:t>
            </w:r>
            <w:r>
              <w:rPr>
                <w:color w:val="000000"/>
              </w:rPr>
              <w:t> </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0.5</w:t>
            </w:r>
            <w:r>
              <w:rPr>
                <w:color w:val="000000"/>
              </w:rPr>
              <w:t> </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March 31, 2026</w:t>
            </w:r>
          </w:p>
        </w:tc>
        <w:tc>
          <w:tcPr>
            <w:tcW w:w="109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971.8</w:t>
            </w:r>
            <w:r>
              <w:rPr>
                <w:color w:val="000000"/>
              </w:rPr>
              <w:t> </w:t>
            </w:r>
          </w:p>
        </w:tc>
        <w:tc>
          <w:tcPr>
            <w:tcW w:w="55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497.7</w:t>
            </w:r>
            <w:r>
              <w:rPr>
                <w:color w:val="000000"/>
              </w:rPr>
              <w:t> </w:t>
            </w:r>
          </w:p>
        </w:tc>
        <w:tc>
          <w:tcPr>
            <w:tcW w:w="61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342.3</w:t>
            </w:r>
            <w:r>
              <w:rPr>
                <w:color w:val="000000"/>
              </w:rPr>
              <w:t> </w:t>
            </w:r>
          </w:p>
        </w:tc>
        <w:tc>
          <w:tcPr>
            <w:tcW w:w="26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31.0</w:t>
            </w:r>
            <w:r>
              <w:rPr>
                <w:color w:val="000000"/>
              </w:rPr>
              <w:t> </w:t>
            </w:r>
          </w:p>
        </w:tc>
        <w:tc>
          <w:tcPr>
            <w:tcW w:w="59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727.7</w:t>
            </w:r>
            <w:r>
              <w:rPr>
                <w:color w:val="000000"/>
              </w:rPr>
              <w:t> </w:t>
            </w:r>
          </w:p>
        </w:tc>
        <w:tc>
          <w:tcPr>
            <w:tcW w:w="404"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2,570.5</w:t>
            </w:r>
            <w:r>
              <w:rPr>
                <w:color w:val="000000"/>
              </w:rPr>
              <w:t> </w:t>
            </w:r>
          </w:p>
        </w:tc>
        <w:tc>
          <w:tcPr>
            <w:tcW w:w="243"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reconciliation of liabilities arising from financing activities for the quarter ended March 31, 2025, is as follows: </w:t>
      </w:r>
    </w:p>
    <w:tbl>
      <w:tblPr>
        <w:tblW w:w="10205" w:type="dxa"/>
        <w:jc w:val="left"/>
        <w:tblInd w:w="0" w:type="dxa"/>
        <w:tblLayout w:type="fixed"/>
        <w:tblCellMar>
          <w:top w:w="28" w:type="dxa"/>
          <w:left w:w="28" w:type="dxa"/>
          <w:bottom w:w="28" w:type="dxa"/>
          <w:right w:w="28" w:type="dxa"/>
        </w:tblCellMar>
      </w:tblPr>
      <w:tblGrid>
        <w:gridCol w:w="770"/>
        <w:gridCol w:w="520"/>
        <w:gridCol w:w="522"/>
        <w:gridCol w:w="551"/>
        <w:gridCol w:w="551"/>
        <w:gridCol w:w="552"/>
        <w:gridCol w:w="612"/>
        <w:gridCol w:w="612"/>
        <w:gridCol w:w="614"/>
        <w:gridCol w:w="308"/>
        <w:gridCol w:w="308"/>
        <w:gridCol w:w="266"/>
        <w:gridCol w:w="598"/>
        <w:gridCol w:w="598"/>
        <w:gridCol w:w="599"/>
        <w:gridCol w:w="406"/>
        <w:gridCol w:w="403"/>
        <w:gridCol w:w="405"/>
        <w:gridCol w:w="383"/>
        <w:gridCol w:w="383"/>
        <w:gridCol w:w="244"/>
      </w:tblGrid>
      <w:tr>
        <w:trPr/>
        <w:tc>
          <w:tcPr>
            <w:tcW w:w="7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Senior Unsecured Notes</w:t>
            </w:r>
          </w:p>
        </w:tc>
        <w:tc>
          <w:tcPr>
            <w:tcW w:w="183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Revolving Credit, </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Term Loan, Bilateral Facilities</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Notes</w:t>
              <w:br/>
              <w:t>Payable</w:t>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Other Financing Obligations</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Lease Liabilities</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January 1, 2025</w:t>
            </w:r>
          </w:p>
        </w:tc>
        <w:tc>
          <w:tcPr>
            <w:tcW w:w="11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5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661.6 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5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642.2 </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2,025.7 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Statement of cash flows</w:t>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proceeds (repayments)</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Non-cash changes</w:t>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and modifications</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March 31, 2025</w:t>
            </w:r>
          </w:p>
        </w:tc>
        <w:tc>
          <w:tcPr>
            <w:tcW w:w="110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5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717.1 </w:t>
            </w:r>
          </w:p>
        </w:tc>
        <w:tc>
          <w:tcPr>
            <w:tcW w:w="6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26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59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630.0 </w:t>
            </w:r>
          </w:p>
        </w:tc>
        <w:tc>
          <w:tcPr>
            <w:tcW w:w="40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2,037.3 </w:t>
            </w:r>
          </w:p>
        </w:tc>
        <w:tc>
          <w:tcPr>
            <w:tcW w:w="24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40815"/>
                <wp:effectExtent l="0" t="0" r="0" b="0"/>
                <wp:wrapNone/>
                <wp:docPr id="39" name="Frame39"/>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tbl>
      <w:tblPr>
        <w:tblW w:w="6102"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109"/>
        <w:gridCol w:w="466"/>
        <w:gridCol w:w="466"/>
        <w:gridCol w:w="466"/>
        <w:gridCol w:w="475"/>
        <w:gridCol w:w="255"/>
        <w:gridCol w:w="256"/>
        <w:gridCol w:w="237"/>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748" w:type="dxa"/>
            <w:gridSpan w:val="3"/>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7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taxes paid,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9.1</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paid, net of receipts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13.4</w:t>
            </w:r>
            <w:r>
              <w:rPr>
                <w:color w:val="000000"/>
              </w:rPr>
              <w:t> </w:t>
            </w:r>
          </w:p>
        </w:tc>
        <w:tc>
          <w:tcPr>
            <w:tcW w:w="475"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3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16.Segmented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provides comprehensive professional services worldwide. It considers the basis on which it is organized, including geographic areas, to identify its reportable segments. Operating segments of the Company are defined as components of the Company for which separate financial information is available and are evaluated regularly by the chief operating decision maker when allocating resources and assessing performance. The Company’s operating segments are based on its regional geographic areas.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Company’s reportable segments are Canada, United States, and Global. These reportable segments provide professional consulting in engineering, architecture, interior design, landscape architecture, surveying, environmental sciences, project management, and project economics services in the area of infrastructure and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Segment performance is evaluated by the chief operating decision maker based on project margin and is measured consistently with project margin in the consolidated financial statements. Reconciliations of project margin to net income before taxes is included in the consolidated statements of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Reportable segments</w:t>
      </w:r>
    </w:p>
    <w:p>
      <w:pPr>
        <w:pStyle w:val="TextBody"/>
        <w:bidi w:val="0"/>
        <w:spacing w:before="0" w:after="0"/>
        <w:jc w:val="left"/>
        <w:rPr/>
      </w:pPr>
      <w:r>
        <w:rPr/>
      </w:r>
    </w:p>
    <w:tbl>
      <w:tblPr>
        <w:tblW w:w="8965" w:type="dxa"/>
        <w:jc w:val="left"/>
        <w:tblInd w:w="0" w:type="dxa"/>
        <w:tblLayout w:type="fixed"/>
        <w:tblCellMar>
          <w:top w:w="28" w:type="dxa"/>
          <w:left w:w="28" w:type="dxa"/>
          <w:bottom w:w="28" w:type="dxa"/>
          <w:right w:w="28" w:type="dxa"/>
        </w:tblCellMar>
      </w:tblPr>
      <w:tblGrid>
        <w:gridCol w:w="1447"/>
        <w:gridCol w:w="1268"/>
        <w:gridCol w:w="1275"/>
        <w:gridCol w:w="330"/>
        <w:gridCol w:w="330"/>
        <w:gridCol w:w="330"/>
        <w:gridCol w:w="420"/>
        <w:gridCol w:w="420"/>
        <w:gridCol w:w="420"/>
        <w:gridCol w:w="330"/>
        <w:gridCol w:w="330"/>
        <w:gridCol w:w="330"/>
        <w:gridCol w:w="330"/>
        <w:gridCol w:w="109"/>
        <w:gridCol w:w="383"/>
        <w:gridCol w:w="383"/>
        <w:gridCol w:w="530"/>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10"/>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quarter ended March 31, 2026</w:t>
            </w:r>
          </w:p>
        </w:tc>
        <w:tc>
          <w:tcPr>
            <w:tcW w:w="1405"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Canada</w:t>
            </w:r>
          </w:p>
        </w:tc>
        <w:tc>
          <w:tcPr>
            <w:tcW w:w="126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United States</w:t>
            </w:r>
          </w:p>
        </w:tc>
        <w:tc>
          <w:tcPr>
            <w:tcW w:w="99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Global</w:t>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Consolidated</w:t>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6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from external customers</w:t>
            </w:r>
          </w:p>
        </w:tc>
        <w:tc>
          <w:tcPr>
            <w:tcW w:w="66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433.9 </w:t>
            </w:r>
          </w:p>
        </w:tc>
        <w:tc>
          <w:tcPr>
            <w:tcW w:w="33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1,135.7 </w:t>
            </w:r>
          </w:p>
        </w:tc>
        <w:tc>
          <w:tcPr>
            <w:tcW w:w="42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498.1 </w:t>
            </w:r>
          </w:p>
        </w:tc>
        <w:tc>
          <w:tcPr>
            <w:tcW w:w="33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2,067.7 </w:t>
            </w:r>
          </w:p>
        </w:tc>
        <w:tc>
          <w:tcPr>
            <w:tcW w:w="53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Less subconsultants and other direct expenses </w:t>
              <w:br/>
              <w:t>    and net revenue inter-segment allocations</w:t>
            </w:r>
          </w:p>
        </w:tc>
        <w:tc>
          <w:tcPr>
            <w:tcW w:w="6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3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3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373.4 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net revenue</w:t>
            </w:r>
          </w:p>
        </w:tc>
        <w:tc>
          <w:tcPr>
            <w:tcW w:w="66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376.3 </w:t>
            </w:r>
          </w:p>
        </w:tc>
        <w:tc>
          <w:tcPr>
            <w:tcW w:w="33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892.5 </w:t>
            </w:r>
          </w:p>
        </w:tc>
        <w:tc>
          <w:tcPr>
            <w:tcW w:w="42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425.5 </w:t>
            </w:r>
          </w:p>
        </w:tc>
        <w:tc>
          <w:tcPr>
            <w:tcW w:w="33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1,694.3 </w:t>
            </w:r>
          </w:p>
        </w:tc>
        <w:tc>
          <w:tcPr>
            <w:tcW w:w="53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6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179.5 </w:t>
            </w:r>
          </w:p>
        </w:tc>
        <w:tc>
          <w:tcPr>
            <w:tcW w:w="3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400.7 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3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780.2 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66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196.8 </w:t>
            </w:r>
          </w:p>
        </w:tc>
        <w:tc>
          <w:tcPr>
            <w:tcW w:w="33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491.8 </w:t>
            </w:r>
          </w:p>
        </w:tc>
        <w:tc>
          <w:tcPr>
            <w:tcW w:w="42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225.5 </w:t>
            </w:r>
          </w:p>
        </w:tc>
        <w:tc>
          <w:tcPr>
            <w:tcW w:w="33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914.1 </w:t>
            </w:r>
          </w:p>
        </w:tc>
        <w:tc>
          <w:tcPr>
            <w:tcW w:w="53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8814" w:type="dxa"/>
        <w:jc w:val="left"/>
        <w:tblInd w:w="0" w:type="dxa"/>
        <w:tblLayout w:type="fixed"/>
        <w:tblCellMar>
          <w:top w:w="28" w:type="dxa"/>
          <w:left w:w="28" w:type="dxa"/>
          <w:bottom w:w="28" w:type="dxa"/>
          <w:right w:w="28" w:type="dxa"/>
        </w:tblCellMar>
      </w:tblPr>
      <w:tblGrid>
        <w:gridCol w:w="1447"/>
        <w:gridCol w:w="1268"/>
        <w:gridCol w:w="1275"/>
        <w:gridCol w:w="319"/>
        <w:gridCol w:w="319"/>
        <w:gridCol w:w="319"/>
        <w:gridCol w:w="400"/>
        <w:gridCol w:w="400"/>
        <w:gridCol w:w="400"/>
        <w:gridCol w:w="319"/>
        <w:gridCol w:w="319"/>
        <w:gridCol w:w="319"/>
        <w:gridCol w:w="319"/>
        <w:gridCol w:w="109"/>
        <w:gridCol w:w="383"/>
        <w:gridCol w:w="383"/>
        <w:gridCol w:w="516"/>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10"/>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 March 31, 2025</w:t>
            </w:r>
          </w:p>
        </w:tc>
        <w:tc>
          <w:tcPr>
            <w:tcW w:w="1391"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Canada</w:t>
            </w:r>
          </w:p>
        </w:tc>
        <w:tc>
          <w:tcPr>
            <w:tcW w:w="12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United States</w:t>
            </w:r>
          </w:p>
        </w:tc>
        <w:tc>
          <w:tcPr>
            <w:tcW w:w="9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Global</w:t>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Consolidated</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from external customers</w:t>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425.7 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1,051.8 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446.1 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Less subconsultants and other direct expenses </w:t>
              <w:br/>
              <w:t>    and net revenue inter-segment allocations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370.6 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net revenue</w:t>
            </w:r>
          </w:p>
        </w:tc>
        <w:tc>
          <w:tcPr>
            <w:tcW w:w="6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372.1 </w:t>
            </w:r>
          </w:p>
        </w:tc>
        <w:tc>
          <w:tcPr>
            <w:tcW w:w="3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4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376.0 </w:t>
            </w:r>
          </w:p>
        </w:tc>
        <w:tc>
          <w:tcPr>
            <w:tcW w:w="3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1,553.0 </w:t>
            </w:r>
          </w:p>
        </w:tc>
        <w:tc>
          <w:tcPr>
            <w:tcW w:w="5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709.5 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63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199.5 </w:t>
            </w:r>
          </w:p>
        </w:tc>
        <w:tc>
          <w:tcPr>
            <w:tcW w:w="3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443.7 </w:t>
            </w:r>
          </w:p>
        </w:tc>
        <w:tc>
          <w:tcPr>
            <w:tcW w:w="40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3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51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40815"/>
                <wp:effectExtent l="0" t="0" r="0" b="0"/>
                <wp:wrapNone/>
                <wp:docPr id="40" name="Frame40"/>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disclose the disaggregation of non-current assets by geographic area and revenue by geographic area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Geographic information</w:t>
      </w:r>
    </w:p>
    <w:tbl>
      <w:tblPr>
        <w:tblW w:w="7400" w:type="dxa"/>
        <w:jc w:val="left"/>
        <w:tblInd w:w="0" w:type="dxa"/>
        <w:tblLayout w:type="fixed"/>
        <w:tblCellMar>
          <w:top w:w="28" w:type="dxa"/>
          <w:left w:w="28" w:type="dxa"/>
          <w:bottom w:w="28" w:type="dxa"/>
          <w:right w:w="28" w:type="dxa"/>
        </w:tblCellMar>
      </w:tblPr>
      <w:tblGrid>
        <w:gridCol w:w="597"/>
        <w:gridCol w:w="524"/>
        <w:gridCol w:w="528"/>
        <w:gridCol w:w="461"/>
        <w:gridCol w:w="320"/>
        <w:gridCol w:w="315"/>
        <w:gridCol w:w="417"/>
        <w:gridCol w:w="417"/>
        <w:gridCol w:w="426"/>
        <w:gridCol w:w="109"/>
        <w:gridCol w:w="109"/>
        <w:gridCol w:w="109"/>
        <w:gridCol w:w="109"/>
        <w:gridCol w:w="264"/>
        <w:gridCol w:w="537"/>
        <w:gridCol w:w="537"/>
        <w:gridCol w:w="537"/>
        <w:gridCol w:w="456"/>
        <w:gridCol w:w="310"/>
        <w:gridCol w:w="318"/>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9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Gross Revenue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31,</w:t>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1084" w:type="dxa"/>
            <w:gridSpan w:val="3"/>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1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662.1</w:t>
            </w:r>
            <w:r>
              <w:rPr>
                <w:color w:val="000000"/>
              </w:rPr>
              <w:t> </w:t>
            </w:r>
          </w:p>
        </w:tc>
        <w:tc>
          <w:tcPr>
            <w:tcW w:w="31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664.8 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433.9</w:t>
            </w:r>
            <w:r>
              <w:rPr>
                <w:color w:val="000000"/>
              </w:rPr>
              <w:t> </w:t>
            </w:r>
          </w:p>
        </w:tc>
        <w:tc>
          <w:tcPr>
            <w:tcW w:w="53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425.7 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2,799.4</w:t>
            </w:r>
            <w:r>
              <w:rPr>
                <w:color w:val="000000"/>
              </w:rPr>
              <w:t> </w:t>
            </w:r>
          </w:p>
        </w:tc>
        <w:tc>
          <w:tcPr>
            <w:tcW w:w="31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2,766.8 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1,135.7</w:t>
            </w:r>
            <w:r>
              <w:rPr>
                <w:color w:val="000000"/>
              </w:rPr>
              <w:t> </w:t>
            </w:r>
          </w:p>
        </w:tc>
        <w:tc>
          <w:tcPr>
            <w:tcW w:w="5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1,051.8 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357.8</w:t>
            </w:r>
            <w:r>
              <w:rPr>
                <w:color w:val="000000"/>
              </w:rPr>
              <w:t> </w:t>
            </w:r>
          </w:p>
        </w:tc>
        <w:tc>
          <w:tcPr>
            <w:tcW w:w="31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194.5</w:t>
            </w:r>
            <w:r>
              <w:rPr>
                <w:color w:val="000000"/>
              </w:rPr>
              <w:t> </w:t>
            </w:r>
          </w:p>
        </w:tc>
        <w:tc>
          <w:tcPr>
            <w:tcW w:w="5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330.6</w:t>
            </w:r>
            <w:r>
              <w:rPr>
                <w:color w:val="000000"/>
              </w:rPr>
              <w:t> </w:t>
            </w:r>
          </w:p>
        </w:tc>
        <w:tc>
          <w:tcPr>
            <w:tcW w:w="31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321.1 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102.2</w:t>
            </w:r>
            <w:r>
              <w:rPr>
                <w:color w:val="000000"/>
              </w:rPr>
              <w:t> </w:t>
            </w:r>
          </w:p>
        </w:tc>
        <w:tc>
          <w:tcPr>
            <w:tcW w:w="5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geographies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557.9</w:t>
            </w:r>
            <w:r>
              <w:rPr>
                <w:color w:val="000000"/>
              </w:rPr>
              <w:t> </w:t>
            </w:r>
          </w:p>
        </w:tc>
        <w:tc>
          <w:tcPr>
            <w:tcW w:w="31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201.4</w:t>
            </w:r>
            <w:r>
              <w:rPr>
                <w:color w:val="000000"/>
              </w:rPr>
              <w:t> </w:t>
            </w:r>
          </w:p>
        </w:tc>
        <w:tc>
          <w:tcPr>
            <w:tcW w:w="5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185.8 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4,707.8</w:t>
            </w:r>
            <w:r>
              <w:rPr>
                <w:color w:val="000000"/>
              </w:rPr>
              <w:t> </w:t>
            </w:r>
          </w:p>
        </w:tc>
        <w:tc>
          <w:tcPr>
            <w:tcW w:w="31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4,670.1 </w:t>
            </w:r>
          </w:p>
        </w:tc>
        <w:tc>
          <w:tcPr>
            <w:tcW w:w="4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2,067.7</w:t>
            </w:r>
            <w:r>
              <w:rPr>
                <w:color w:val="000000"/>
              </w:rPr>
              <w:t> </w:t>
            </w:r>
          </w:p>
        </w:tc>
        <w:tc>
          <w:tcPr>
            <w:tcW w:w="537"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31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Non-current assets consist of property and equipment, lease assets, goodwill, and intangible assets. Geographic information is attributed to countries based on the location of the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Gross revenue is attributed to countries based on the location of the project.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Gross revenue by services</w:t>
      </w:r>
    </w:p>
    <w:tbl>
      <w:tblPr>
        <w:tblW w:w="7193" w:type="dxa"/>
        <w:jc w:val="left"/>
        <w:tblInd w:w="0" w:type="dxa"/>
        <w:tblLayout w:type="fixed"/>
        <w:tblCellMar>
          <w:top w:w="28" w:type="dxa"/>
          <w:left w:w="28" w:type="dxa"/>
          <w:bottom w:w="28" w:type="dxa"/>
          <w:right w:w="28" w:type="dxa"/>
        </w:tblCellMar>
      </w:tblPr>
      <w:tblGrid>
        <w:gridCol w:w="1447"/>
        <w:gridCol w:w="1272"/>
        <w:gridCol w:w="1287"/>
        <w:gridCol w:w="109"/>
        <w:gridCol w:w="466"/>
        <w:gridCol w:w="466"/>
        <w:gridCol w:w="466"/>
        <w:gridCol w:w="475"/>
        <w:gridCol w:w="383"/>
        <w:gridCol w:w="383"/>
        <w:gridCol w:w="176"/>
        <w:gridCol w:w="109"/>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March 31,</w:t>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538.2</w:t>
            </w:r>
            <w:r>
              <w:rPr>
                <w:color w:val="000000"/>
              </w:rPr>
              <w:t> </w:t>
            </w:r>
          </w:p>
        </w:tc>
        <w:tc>
          <w:tcPr>
            <w:tcW w:w="4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506.3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462.6</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343.3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217.3</w:t>
            </w:r>
            <w:r>
              <w:rPr>
                <w:color w:val="000000"/>
              </w:rPr>
              <w:t> </w:t>
            </w:r>
          </w:p>
        </w:tc>
        <w:tc>
          <w:tcPr>
            <w:tcW w:w="4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gross revenue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2,067.7</w:t>
            </w:r>
            <w:r>
              <w:rPr>
                <w:color w:val="000000"/>
              </w:rPr>
              <w:t> </w:t>
            </w:r>
          </w:p>
        </w:tc>
        <w:tc>
          <w:tcPr>
            <w:tcW w:w="475"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1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Performance will fluctuate quarter to quarter. The first and fourth quarters historically have lower revenue generation and project activity because of holidays and weather conditions in the northern hemisphere. Despite this quarterly fluctuation, the Company has concluded that it is not highly seasonal in accordance with IAS 34.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Customers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has a large number of clients in various industries and sectors of the economy. No individual customer exceeds 10% of the Company’s gross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17.Events after the Reporting Period</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UK pension scheme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April 2026, the Company entered into a bulk annuity policy for another section of the UK pension scheme. Future cash flows from this bulk annuity will match the amount and timing of certain benefits payable under the scheme. The bulk annuity does not extinguish the Company's risks and obligations under the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May 13, 2026, the Company declared a dividend of $0.245 per share, payable on July 15, 2026, to shareholders of record on June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40815"/>
                <wp:effectExtent l="0" t="0" r="0" b="0"/>
                <wp:wrapNone/>
                <wp:docPr id="41" name="Frame41"/>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226.85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March 31,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18"/>
        </w:rPr>
        <w:t>Exhibit 99.3</w:t>
      </w:r>
      <w:r>
        <w:rPr>
          <w:color w:val="000000"/>
        </w:rPr>
        <w:t xml:space="preserve"> </w:t>
      </w:r>
      <w:r>
        <w:rPr>
          <w:rFonts w:ascii="Arial;sans-serif" w:hAnsi="Arial;sans-serif"/>
          <w:b w:val="false"/>
          <w:color w:val="000000"/>
          <w:sz w:val="18"/>
        </w:rPr>
        <w:t>- Certification of Interim Filings – President and Chief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center"/>
        <w:rPr>
          <w:rFonts w:ascii="Amasis MT Pro;serif" w:hAnsi="Amasis MT Pro;serif"/>
          <w:b w:val="false"/>
          <w:color w:val="000000"/>
          <w:sz w:val="28"/>
        </w:rPr>
      </w:pPr>
      <w:r>
        <w:rPr>
          <w:rFonts w:ascii="Amasis MT Pro;serif" w:hAnsi="Amasis MT Pro;serif"/>
          <w:b w:val="false"/>
          <w:color w:val="000000"/>
          <w:sz w:val="28"/>
        </w:rPr>
        <w:t>CERTIFICATION OF INTERIM FILINGS</w:t>
      </w:r>
    </w:p>
    <w:p>
      <w:pPr>
        <w:pStyle w:val="TextBody"/>
        <w:bidi w:val="0"/>
        <w:spacing w:lineRule="auto" w:line="288" w:before="0" w:after="0"/>
        <w:jc w:val="left"/>
        <w:rPr/>
      </w:pPr>
      <w:r>
        <w:rPr>
          <w:rFonts w:ascii="Arial;sans-serif" w:hAnsi="Arial;sans-serif"/>
          <w:b w:val="false"/>
          <w:color w:val="000000"/>
          <w:sz w:val="18"/>
        </w:rPr>
        <w:t xml:space="preserve">I, </w:t>
      </w:r>
      <w:r>
        <w:rPr>
          <w:rFonts w:ascii="Arial;sans-serif" w:hAnsi="Arial;sans-serif"/>
          <w:b/>
          <w:color w:val="000000"/>
          <w:sz w:val="18"/>
        </w:rPr>
        <w:t>GORDON A. JOHNSTON</w:t>
      </w:r>
      <w:r>
        <w:rPr>
          <w:rFonts w:ascii="Arial;sans-serif" w:hAnsi="Arial;sans-serif"/>
          <w:b w:val="false"/>
          <w:color w:val="000000"/>
          <w:sz w:val="18"/>
        </w:rPr>
        <w:t>, certify the following:</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1.I have reviewed the quarterly report for the period ended March 31, 2026 (this “report”) of Stantec Inc. (the “issuer”);</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4.The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d)disclosed in this report any change in the issuer’s internal control over financial reporting that occurred during the issuer’s most recent fiscal quarter that has materially affected, or is reasonably likely to materially affect, the issuer’s internal control over financial reporting;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5.    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issuer’s internal control over financial reporting.</w:t>
      </w:r>
    </w:p>
    <w:p>
      <w:pPr>
        <w:pStyle w:val="TextBody"/>
        <w:bidi w:val="0"/>
        <w:spacing w:before="0" w:after="0"/>
        <w:ind w:left="0" w:right="0" w:hanging="18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Date: May 13, 2026</w:t>
      </w:r>
    </w:p>
    <w:tbl>
      <w:tblPr>
        <w:tblW w:w="3791" w:type="dxa"/>
        <w:jc w:val="right"/>
        <w:tblInd w:w="0" w:type="dxa"/>
        <w:tblLayout w:type="fixed"/>
        <w:tblCellMar>
          <w:top w:w="28" w:type="dxa"/>
          <w:left w:w="28" w:type="dxa"/>
          <w:bottom w:w="28" w:type="dxa"/>
          <w:right w:w="28" w:type="dxa"/>
        </w:tblCellMar>
      </w:tblPr>
      <w:tblGrid>
        <w:gridCol w:w="124"/>
        <w:gridCol w:w="109"/>
        <w:gridCol w:w="109"/>
        <w:gridCol w:w="1010"/>
        <w:gridCol w:w="1010"/>
        <w:gridCol w:w="14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 Gordon A. Johnston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GORDON A. JOHNSTON, M. ENG., P. ENG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Exhibit 99.4 </w:t>
      </w:r>
      <w:r>
        <w:rPr>
          <w:rFonts w:ascii="Arial;sans-serif" w:hAnsi="Arial;sans-serif"/>
          <w:b w:val="false"/>
          <w:color w:val="000000"/>
          <w:sz w:val="18"/>
        </w:rPr>
        <w:t>- Certification of Interim Filings – Executive Vice President and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center"/>
        <w:rPr>
          <w:rFonts w:ascii="Amasis MT Pro;serif" w:hAnsi="Amasis MT Pro;serif"/>
          <w:b w:val="false"/>
          <w:color w:val="000000"/>
          <w:sz w:val="28"/>
        </w:rPr>
      </w:pPr>
      <w:r>
        <w:rPr>
          <w:rFonts w:ascii="Amasis MT Pro;serif" w:hAnsi="Amasis MT Pro;serif"/>
          <w:b w:val="false"/>
          <w:color w:val="000000"/>
          <w:sz w:val="28"/>
        </w:rPr>
        <w:t>CERTIFICATION OF INTERIM FILINGS</w:t>
      </w:r>
    </w:p>
    <w:p>
      <w:pPr>
        <w:pStyle w:val="TextBody"/>
        <w:bidi w:val="0"/>
        <w:spacing w:lineRule="auto" w:line="288" w:before="0" w:after="0"/>
        <w:jc w:val="left"/>
        <w:rPr/>
      </w:pPr>
      <w:r>
        <w:rPr>
          <w:rFonts w:ascii="Arial;sans-serif" w:hAnsi="Arial;sans-serif"/>
          <w:b w:val="false"/>
          <w:color w:val="000000"/>
          <w:sz w:val="18"/>
        </w:rPr>
        <w:t xml:space="preserve">I, </w:t>
      </w:r>
      <w:r>
        <w:rPr>
          <w:rFonts w:ascii="Arial;sans-serif" w:hAnsi="Arial;sans-serif"/>
          <w:b/>
          <w:color w:val="000000"/>
          <w:sz w:val="18"/>
        </w:rPr>
        <w:t>VITO CULMONE</w:t>
      </w:r>
      <w:r>
        <w:rPr>
          <w:rFonts w:ascii="Arial;sans-serif" w:hAnsi="Arial;sans-serif"/>
          <w:b w:val="false"/>
          <w:color w:val="000000"/>
          <w:sz w:val="18"/>
        </w:rPr>
        <w:t>, certify the following:</w:t>
      </w:r>
    </w:p>
    <w:p>
      <w:pPr>
        <w:pStyle w:val="TextBody"/>
        <w:bidi w:val="0"/>
        <w:spacing w:before="0" w:after="0"/>
        <w:jc w:val="left"/>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1.I have reviewed the quarterly report for the period ended March 31, 2026 (this “report”) of Stantec Inc. (the “issuer”);</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4.The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d)disclosed in this report any change in the issuer’s internal control over financial reporting that occurred during the issuer’s most recent fiscal quarter that has materially affected, or is reasonably likely to materially affect, the issuer’s internal control over financial reporting;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5.    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May 13, 2026</w:t>
      </w:r>
    </w:p>
    <w:tbl>
      <w:tblPr>
        <w:tblW w:w="4272" w:type="dxa"/>
        <w:jc w:val="right"/>
        <w:tblInd w:w="0" w:type="dxa"/>
        <w:tblLayout w:type="fixed"/>
        <w:tblCellMar>
          <w:top w:w="28" w:type="dxa"/>
          <w:left w:w="28" w:type="dxa"/>
          <w:bottom w:w="28" w:type="dxa"/>
          <w:right w:w="28" w:type="dxa"/>
        </w:tblCellMar>
      </w:tblPr>
      <w:tblGrid>
        <w:gridCol w:w="124"/>
        <w:gridCol w:w="109"/>
        <w:gridCol w:w="109"/>
        <w:gridCol w:w="1151"/>
        <w:gridCol w:w="1151"/>
        <w:gridCol w:w="16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 Vito Culmone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VITO CULMONE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masis MT Pro">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17704</Words>
  <Characters>99069</Characters>
  <CharactersWithSpaces>115132</CharactersWithSpaces>
  <Paragraphs>2555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