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81226.htm"/>
      <w:bookmarkStart w:id="1" w:name="ksf6k_0812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August 2026</w:t>
      </w:r>
    </w:p>
    <w:p>
      <w:pPr>
        <w:pStyle w:val="TextBody"/>
        <w:bidi w:val="0"/>
        <w:jc w:val="center"/>
        <w:rPr/>
      </w:pPr>
      <w:r>
        <w:rPr/>
        <w:t xml:space="preserve">Commission File Number: </w:t>
      </w:r>
      <w:r>
        <w:rPr>
          <w:rStyle w:val="StrongEmphasis"/>
        </w:rPr>
        <w:t>001-32562</w:t>
      </w:r>
    </w:p>
    <w:p>
      <w:pPr>
        <w:pStyle w:val="TextBody"/>
        <w:bidi w:val="0"/>
        <w:jc w:val="center"/>
        <w:rPr/>
      </w:pPr>
      <w:r>
        <w:rPr>
          <w:rStyle w:val="StrongEmphasis"/>
          <w:sz w:val="24"/>
        </w:rPr>
        <w:t>STANTEC INC.</w:t>
      </w:r>
      <w:r>
        <w:rPr/>
        <w:br/>
        <w:t>(Translation of registrant's name into English)</w:t>
      </w:r>
    </w:p>
    <w:p>
      <w:pPr>
        <w:pStyle w:val="TextBody"/>
        <w:bidi w:val="0"/>
        <w:jc w:val="center"/>
        <w:rPr/>
      </w:pPr>
      <w:r>
        <w:rPr>
          <w:rStyle w:val="StrongEmphasis"/>
        </w:rPr>
        <w:t>300-10220 103 Avenue NW</w:t>
        <w:br/>
        <w:t>Edmonton, Alberta</w:t>
        <w:br/>
        <w:t>Canada T5J 0K4</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      Form 40-F [ X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7"/>
        <w:gridCol w:w="610"/>
        <w:gridCol w:w="4798"/>
      </w:tblGrid>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rStyle w:val="StrongEmphasis"/>
                <w:u w:val="single"/>
              </w:rPr>
              <w:t>    </w:t>
            </w:r>
            <w:r>
              <w:rPr>
                <w:rStyle w:val="StrongEmphasis"/>
                <w:u w:val="single"/>
              </w:rPr>
              <w:t>STANTEC INC.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(Registrant)</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pPr>
            <w:r>
              <w:rPr/>
              <w:t>Date: August 12, 2026</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u w:val="single"/>
              </w:rPr>
            </w:pPr>
            <w:r>
              <w:rPr>
                <w:u w:val="single"/>
              </w:rPr>
              <w:t>    </w:t>
            </w:r>
            <w:r>
              <w:rPr>
                <w:u w:val="single"/>
              </w:rPr>
              <w:t>/s/ Vito Culmone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 xml:space="preserve">Vito Culmone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Executive Vice President and CFO</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bl>
    <w:p>
      <w:pPr>
        <w:pStyle w:val="HorizontalLine"/>
        <w:pBdr>
          <w:bottom w:val="single" w:sz="12" w:space="0" w:color="808080"/>
        </w:pBdr>
        <w:bidi w:val="0"/>
        <w:jc w:val="left"/>
        <w:rPr/>
      </w:pPr>
      <w:r>
        <w:rPr/>
      </w:r>
    </w:p>
    <w:p>
      <w:pPr>
        <w:pStyle w:val="TextBody"/>
        <w:bidi w:val="0"/>
        <w:jc w:val="center"/>
        <w:rPr/>
      </w:pPr>
      <w:r>
        <w:rPr>
          <w:rStyle w:val="StrongEmphasis"/>
          <w:sz w:val="20"/>
        </w:rPr>
        <w:t>EXHIBIT INDEX</w:t>
      </w:r>
    </w:p>
    <w:tbl>
      <w:tblPr>
        <w:tblW w:w="4720" w:type="dxa"/>
        <w:jc w:val="left"/>
        <w:tblInd w:w="0" w:type="dxa"/>
        <w:tblLayout w:type="fixed"/>
        <w:tblCellMar>
          <w:top w:w="0" w:type="dxa"/>
          <w:left w:w="0" w:type="dxa"/>
          <w:bottom w:w="0" w:type="dxa"/>
          <w:right w:w="0" w:type="dxa"/>
        </w:tblCellMar>
      </w:tblPr>
      <w:tblGrid>
        <w:gridCol w:w="1385"/>
        <w:gridCol w:w="300"/>
        <w:gridCol w:w="3035"/>
      </w:tblGrid>
      <w:tr>
        <w:trPr/>
        <w:tc>
          <w:tcPr>
            <w:tcW w:w="1385" w:type="dxa"/>
            <w:tcBorders/>
            <w:vAlign w:val="bottom"/>
          </w:tcPr>
          <w:p>
            <w:pPr>
              <w:pStyle w:val="TableContents"/>
              <w:bidi w:val="0"/>
              <w:spacing w:before="0" w:after="283"/>
              <w:jc w:val="left"/>
              <w:rPr/>
            </w:pPr>
            <w:r>
              <w:rPr>
                <w:rStyle w:val="StrongEmphasis"/>
                <w:sz w:val="20"/>
                <w:u w:val="single"/>
              </w:rPr>
              <w:t>Exhibit Number</w:t>
            </w:r>
          </w:p>
        </w:tc>
        <w:tc>
          <w:tcPr>
            <w:tcW w:w="300" w:type="dxa"/>
            <w:tcBorders/>
            <w:vAlign w:val="center"/>
          </w:tcPr>
          <w:p>
            <w:pPr>
              <w:pStyle w:val="TableContents"/>
              <w:bidi w:val="0"/>
              <w:spacing w:before="0" w:after="283"/>
              <w:jc w:val="left"/>
              <w:rPr/>
            </w:pPr>
            <w:r>
              <w:rPr/>
              <w:t> </w:t>
            </w:r>
          </w:p>
        </w:tc>
        <w:tc>
          <w:tcPr>
            <w:tcW w:w="3035" w:type="dxa"/>
            <w:tcBorders/>
            <w:vAlign w:val="bottom"/>
          </w:tcPr>
          <w:p>
            <w:pPr>
              <w:pStyle w:val="TableContents"/>
              <w:bidi w:val="0"/>
              <w:spacing w:before="0" w:after="283"/>
              <w:jc w:val="left"/>
              <w:rPr/>
            </w:pPr>
            <w:r>
              <w:rPr>
                <w:rStyle w:val="StrongEmphasis"/>
                <w:sz w:val="20"/>
                <w:u w:val="single"/>
              </w:rPr>
              <w:t>Description</w:t>
            </w:r>
          </w:p>
        </w:tc>
      </w:tr>
      <w:tr>
        <w:trPr/>
        <w:tc>
          <w:tcPr>
            <w:tcW w:w="138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hyperlink w:anchor="exh_991.htm">
              <w:r>
                <w:rPr>
                  <w:rStyle w:val="InternetLink"/>
                  <w:sz w:val="20"/>
                </w:rPr>
                <w:t>Press Release dated August 12, 2026</w:t>
              </w:r>
            </w:hyperlink>
            <w:r>
              <w:rPr>
                <w:sz w:val="20"/>
              </w:rPr>
              <w:t xml:space="preserve"> </w:t>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Stantec delivers strong second quarter 2026 results, expands margins and raises adjusted EBITDA outlook for 2026</w:t>
      </w:r>
    </w:p>
    <w:p>
      <w:pPr>
        <w:pStyle w:val="TextBody"/>
        <w:numPr>
          <w:ilvl w:val="0"/>
          <w:numId w:val="2"/>
        </w:numPr>
        <w:tabs>
          <w:tab w:val="clear" w:pos="1134"/>
          <w:tab w:val="left" w:pos="709" w:leader="none"/>
        </w:tabs>
        <w:bidi w:val="0"/>
        <w:spacing w:before="80" w:after="80"/>
        <w:ind w:left="709" w:hanging="283"/>
        <w:jc w:val="left"/>
        <w:rPr/>
      </w:pPr>
      <w:r>
        <w:rPr/>
        <w:t>Net revenue of $1.8 billion, an increase of 11.5% compared to Q2 2025</w:t>
      </w:r>
    </w:p>
    <w:p>
      <w:pPr>
        <w:pStyle w:val="TextBody"/>
        <w:numPr>
          <w:ilvl w:val="0"/>
          <w:numId w:val="2"/>
        </w:numPr>
        <w:tabs>
          <w:tab w:val="clear" w:pos="1134"/>
          <w:tab w:val="left" w:pos="709" w:leader="none"/>
        </w:tabs>
        <w:bidi w:val="0"/>
        <w:spacing w:before="0" w:after="0"/>
        <w:ind w:left="709" w:hanging="283"/>
        <w:jc w:val="left"/>
        <w:rPr/>
      </w:pPr>
      <w:r>
        <w:rPr/>
        <w:t>Adjusted EBITDA</w:t>
      </w:r>
      <w:r>
        <w:rPr>
          <w:position w:val="8"/>
          <w:sz w:val="19"/>
        </w:rPr>
        <w:t>1</w:t>
      </w:r>
      <w:r>
        <w:rPr/>
        <w:t xml:space="preserve"> increase of 17.1% to $332.9 million and adjusted EBITDA margin</w:t>
      </w:r>
      <w:r>
        <w:rPr>
          <w:position w:val="8"/>
          <w:sz w:val="19"/>
        </w:rPr>
        <w:t>1</w:t>
      </w:r>
      <w:r>
        <w:rPr/>
        <w:t xml:space="preserve"> of 18.7%, a 90 basis point increase over Q2 2025</w:t>
      </w:r>
    </w:p>
    <w:p>
      <w:pPr>
        <w:pStyle w:val="TextBody"/>
        <w:numPr>
          <w:ilvl w:val="0"/>
          <w:numId w:val="2"/>
        </w:numPr>
        <w:tabs>
          <w:tab w:val="clear" w:pos="1134"/>
          <w:tab w:val="left" w:pos="709" w:leader="none"/>
        </w:tabs>
        <w:bidi w:val="0"/>
        <w:spacing w:before="80" w:after="80"/>
        <w:ind w:left="709" w:hanging="283"/>
        <w:jc w:val="left"/>
        <w:rPr/>
      </w:pPr>
      <w:r>
        <w:rPr/>
        <w:t>Diluted EPS of $1.32 and adjusted EPS</w:t>
      </w:r>
      <w:r>
        <w:rPr>
          <w:position w:val="8"/>
          <w:sz w:val="19"/>
        </w:rPr>
        <w:t>1</w:t>
      </w:r>
      <w:r>
        <w:rPr/>
        <w:t xml:space="preserve"> of $1.61, up 10.9% and 18.4%, respectively, compared to Q2 2025</w:t>
      </w:r>
    </w:p>
    <w:p>
      <w:pPr>
        <w:pStyle w:val="TextBody"/>
        <w:numPr>
          <w:ilvl w:val="0"/>
          <w:numId w:val="2"/>
        </w:numPr>
        <w:tabs>
          <w:tab w:val="clear" w:pos="1134"/>
          <w:tab w:val="left" w:pos="709" w:leader="none"/>
        </w:tabs>
        <w:bidi w:val="0"/>
        <w:spacing w:before="80" w:after="80"/>
        <w:ind w:left="709" w:hanging="283"/>
        <w:jc w:val="left"/>
        <w:rPr/>
      </w:pPr>
      <w:r>
        <w:rPr/>
        <w:t>Contract backlog increased to $9.2 billion, up 17.5% year-over-year</w:t>
      </w:r>
    </w:p>
    <w:p>
      <w:pPr>
        <w:pStyle w:val="TextBody"/>
        <w:numPr>
          <w:ilvl w:val="0"/>
          <w:numId w:val="2"/>
        </w:numPr>
        <w:tabs>
          <w:tab w:val="clear" w:pos="1134"/>
          <w:tab w:val="left" w:pos="709" w:leader="none"/>
        </w:tabs>
        <w:bidi w:val="0"/>
        <w:spacing w:before="80" w:after="80"/>
        <w:ind w:left="709" w:hanging="283"/>
        <w:jc w:val="left"/>
        <w:rPr/>
      </w:pPr>
      <w:r>
        <w:rPr/>
        <w:t>Repurchased 1,667,292 common shares for an aggregate price of $175.9 million in the first two quarters of 2026</w:t>
      </w:r>
    </w:p>
    <w:p>
      <w:pPr>
        <w:pStyle w:val="TextBody"/>
        <w:numPr>
          <w:ilvl w:val="0"/>
          <w:numId w:val="2"/>
        </w:numPr>
        <w:tabs>
          <w:tab w:val="clear" w:pos="1134"/>
          <w:tab w:val="left" w:pos="709" w:leader="none"/>
        </w:tabs>
        <w:bidi w:val="0"/>
        <w:spacing w:before="80" w:after="80"/>
        <w:ind w:left="709" w:hanging="283"/>
        <w:jc w:val="left"/>
        <w:rPr/>
      </w:pPr>
      <w:r>
        <w:rPr/>
        <w:t>On July 31, 2026 Stantec acquired Niche, a 200-person engineering and environmental consultancy firm in Australia, bolstering its Environmental Services operations.</w:t>
      </w:r>
    </w:p>
    <w:p>
      <w:pPr>
        <w:pStyle w:val="TextBody"/>
        <w:bidi w:val="0"/>
        <w:spacing w:before="0" w:after="283"/>
        <w:jc w:val="left"/>
        <w:rPr/>
      </w:pPr>
      <w:r>
        <w:rPr/>
        <w:t>EDMONTON, Alberta and NEW YORK, Aug. 12, 2026 (GLOBE NEWSWIRE) -- Stantec (TSX, NYSE:STN), a global leader in sustainable engineering, architecture and environmental consulting, released its second quarter 2026 results today.</w:t>
      </w:r>
    </w:p>
    <w:p>
      <w:pPr>
        <w:pStyle w:val="TextBody"/>
        <w:bidi w:val="0"/>
        <w:spacing w:before="0" w:after="283"/>
        <w:jc w:val="left"/>
        <w:rPr/>
      </w:pPr>
      <w:r>
        <w:rPr/>
        <w:t>In the second quarter, net revenue increased 11.5% year-over-year to $1.8 billion, driven by acquisition growth</w:t>
      </w:r>
      <w:r>
        <w:rPr>
          <w:position w:val="8"/>
          <w:sz w:val="19"/>
        </w:rPr>
        <w:t xml:space="preserve">1 </w:t>
      </w:r>
      <w:r>
        <w:rPr/>
        <w:t>of 7.1%, primarily reflecting strong results from Page in our US operations, and organic growth of 3.7% which was driven primarily by 12.8% organic growth in Global. Second quarter 2026 adjusted EBITDA increased 17.1% or $48.5 million, and adjusted EBITDA margin reached 18.7%, up 90 basis points compared to the second quarter 2025. Stantec delivered diluted earnings per share (EPS) of $1.32 and adjusted EPS of $1.61.</w:t>
      </w:r>
    </w:p>
    <w:p>
      <w:pPr>
        <w:pStyle w:val="TextBody"/>
        <w:bidi w:val="0"/>
        <w:spacing w:before="0" w:after="283"/>
        <w:jc w:val="left"/>
        <w:rPr/>
      </w:pPr>
      <w:r>
        <w:rPr/>
        <w:t>On a year-to-date basis, net revenue increased 10.3% to $3.5 billion, driven by 7.2% acquisition and 3.7% organic growth. All of Stantec's operating regions have achieved organic net revenue growth year-to-date, with Water achieving 13.0% organic net revenue growth. Adjusted EBITDA increased 15.5% to $619.9 million year-to-date, and adjusted EBITDA margin increased 80 basis points over the prior period to 17.8%. Adjusted EPS increased 16.7% to $2.94.</w:t>
      </w:r>
    </w:p>
    <w:p>
      <w:pPr>
        <w:pStyle w:val="TextBody"/>
        <w:bidi w:val="0"/>
        <w:spacing w:before="0" w:after="283"/>
        <w:jc w:val="left"/>
        <w:rPr/>
      </w:pPr>
      <w:r>
        <w:rPr/>
        <w:t>“</w:t>
      </w:r>
      <w:r>
        <w:rPr/>
        <w:t>As reflected in Stantec's second quarter results, strong operational performance, combined with solid growth in our Global region and meaningful contributions from our acquisition of Page, have kept us on track to deliver on our 2026 financial targets,” said Gord Johnston, President and CEO. “The long-term demand drivers of our business remain intact, and with a record backlog of $9.2 billion, we expect to see an acceleration of activity in the second half of 2026.”</w:t>
      </w:r>
    </w:p>
    <w:p>
      <w:pPr>
        <w:pStyle w:val="TextBody"/>
        <w:bidi w:val="0"/>
        <w:spacing w:before="0" w:after="283"/>
        <w:jc w:val="left"/>
        <w:rPr/>
      </w:pPr>
      <w:r>
        <w:rPr/>
        <w:t>__________________________</w:t>
        <w:br/>
      </w:r>
      <w:r>
        <w:rPr>
          <w:position w:val="8"/>
          <w:sz w:val="19"/>
        </w:rPr>
        <w:t>1</w:t>
      </w:r>
      <w:r>
        <w:rPr/>
        <w:t xml:space="preserve"> Adjusted EPS, adjusted EBITDA, adjusted EBITDA margin and free cash flow to net income are non-IFRS measures; organic growth and acquisition growth are other financial measures (discussed in the Definitions section of Stantec's Q2 2026 Management's Discussion and Analysis).</w:t>
      </w:r>
    </w:p>
    <w:p>
      <w:pPr>
        <w:pStyle w:val="TextBody"/>
        <w:bidi w:val="0"/>
        <w:spacing w:before="0" w:after="283"/>
        <w:jc w:val="left"/>
        <w:rPr/>
      </w:pPr>
      <w:r>
        <w:rPr>
          <w:rStyle w:val="StrongEmphasis"/>
        </w:rPr>
        <w:br/>
        <w:t>2026 Outlook</w:t>
      </w:r>
    </w:p>
    <w:p>
      <w:pPr>
        <w:pStyle w:val="TextBody"/>
        <w:bidi w:val="0"/>
        <w:jc w:val="both"/>
        <w:rPr/>
      </w:pPr>
      <w:r>
        <w:rPr/>
        <w:t>Stantec is reaffirming its 2026 guidance while narrowing and adjusting upward its adjusted EBITDA target for the year.</w:t>
      </w:r>
    </w:p>
    <w:tbl>
      <w:tblPr>
        <w:tblW w:w="6782" w:type="dxa"/>
        <w:jc w:val="left"/>
        <w:tblInd w:w="0" w:type="dxa"/>
        <w:tblLayout w:type="fixed"/>
        <w:tblCellMar>
          <w:top w:w="0" w:type="dxa"/>
          <w:left w:w="0" w:type="dxa"/>
          <w:bottom w:w="28" w:type="dxa"/>
          <w:right w:w="0" w:type="dxa"/>
        </w:tblCellMar>
      </w:tblPr>
      <w:tblGrid>
        <w:gridCol w:w="4606"/>
        <w:gridCol w:w="2176"/>
      </w:tblGrid>
      <w:tr>
        <w:trPr/>
        <w:tc>
          <w:tcPr>
            <w:tcW w:w="4606" w:type="dxa"/>
            <w:tcBorders>
              <w:bottom w:val="single" w:sz="8" w:space="0" w:color="000000"/>
            </w:tcBorders>
            <w:vAlign w:val="center"/>
          </w:tcPr>
          <w:p>
            <w:pPr>
              <w:pStyle w:val="TableContents"/>
              <w:bidi w:val="0"/>
              <w:spacing w:before="0" w:after="283"/>
              <w:jc w:val="left"/>
              <w:rPr/>
            </w:pPr>
            <w:r>
              <w:rPr/>
              <w:t> </w:t>
            </w:r>
          </w:p>
        </w:tc>
        <w:tc>
          <w:tcPr>
            <w:tcW w:w="2176" w:type="dxa"/>
            <w:tcBorders>
              <w:bottom w:val="single" w:sz="8" w:space="0" w:color="000000"/>
            </w:tcBorders>
            <w:vAlign w:val="center"/>
          </w:tcPr>
          <w:p>
            <w:pPr>
              <w:pStyle w:val="TableContents"/>
              <w:bidi w:val="0"/>
              <w:spacing w:before="0" w:after="283"/>
              <w:jc w:val="center"/>
              <w:rPr/>
            </w:pPr>
            <w:r>
              <w:rPr>
                <w:rStyle w:val="StrongEmphasis"/>
              </w:rPr>
              <w:t>2026 Annual Range</w:t>
            </w:r>
          </w:p>
        </w:tc>
      </w:tr>
      <w:tr>
        <w:trPr/>
        <w:tc>
          <w:tcPr>
            <w:tcW w:w="4606" w:type="dxa"/>
            <w:tcBorders>
              <w:top w:val="single" w:sz="8" w:space="0" w:color="000000"/>
            </w:tcBorders>
            <w:tcMar>
              <w:top w:w="28" w:type="dxa"/>
              <w:bottom w:w="0" w:type="dxa"/>
            </w:tcMar>
            <w:vAlign w:val="center"/>
          </w:tcPr>
          <w:p>
            <w:pPr>
              <w:pStyle w:val="TableContents"/>
              <w:bidi w:val="0"/>
              <w:spacing w:before="0" w:after="283"/>
              <w:jc w:val="left"/>
              <w:rPr/>
            </w:pPr>
            <w:r>
              <w:rPr>
                <w:rStyle w:val="StrongEmphasis"/>
              </w:rPr>
              <w:t>Targets</w:t>
            </w:r>
          </w:p>
        </w:tc>
        <w:tc>
          <w:tcPr>
            <w:tcW w:w="2176" w:type="dxa"/>
            <w:tcBorders>
              <w:top w:val="single" w:sz="8" w:space="0" w:color="000000"/>
            </w:tcBorders>
            <w:tcMar>
              <w:top w:w="28" w:type="dxa"/>
              <w:bottom w:w="0" w:type="dxa"/>
            </w:tcMar>
            <w:vAlign w:val="center"/>
          </w:tcPr>
          <w:p>
            <w:pPr>
              <w:pStyle w:val="TableContents"/>
              <w:bidi w:val="0"/>
              <w:spacing w:before="0" w:after="283"/>
              <w:jc w:val="left"/>
              <w:rPr/>
            </w:pPr>
            <w:r>
              <w:rPr/>
              <w:t> </w:t>
            </w:r>
          </w:p>
        </w:tc>
      </w:tr>
      <w:tr>
        <w:trPr/>
        <w:tc>
          <w:tcPr>
            <w:tcW w:w="4606" w:type="dxa"/>
            <w:tcBorders/>
            <w:tcMar>
              <w:top w:w="28" w:type="dxa"/>
              <w:left w:w="28" w:type="dxa"/>
              <w:right w:w="28" w:type="dxa"/>
            </w:tcMar>
            <w:vAlign w:val="center"/>
          </w:tcPr>
          <w:p>
            <w:pPr>
              <w:pStyle w:val="TableContents"/>
              <w:bidi w:val="0"/>
              <w:spacing w:before="0" w:after="283"/>
              <w:jc w:val="left"/>
              <w:rPr/>
            </w:pPr>
            <w:r>
              <w:rPr/>
              <w:t>Net revenue growth</w:t>
            </w:r>
          </w:p>
        </w:tc>
        <w:tc>
          <w:tcPr>
            <w:tcW w:w="2176" w:type="dxa"/>
            <w:tcBorders/>
            <w:tcMar>
              <w:top w:w="28" w:type="dxa"/>
              <w:left w:w="28" w:type="dxa"/>
              <w:right w:w="28" w:type="dxa"/>
            </w:tcMar>
            <w:vAlign w:val="center"/>
          </w:tcPr>
          <w:p>
            <w:pPr>
              <w:pStyle w:val="TableContents"/>
              <w:bidi w:val="0"/>
              <w:spacing w:before="0" w:after="283"/>
              <w:jc w:val="center"/>
              <w:rPr/>
            </w:pPr>
            <w:r>
              <w:rPr/>
              <w:t>8.5% to 11.5%</w:t>
            </w:r>
          </w:p>
        </w:tc>
      </w:tr>
      <w:tr>
        <w:trPr/>
        <w:tc>
          <w:tcPr>
            <w:tcW w:w="4606" w:type="dxa"/>
            <w:tcBorders/>
            <w:tcMar>
              <w:top w:w="28" w:type="dxa"/>
              <w:left w:w="28" w:type="dxa"/>
              <w:right w:w="28" w:type="dxa"/>
            </w:tcMar>
            <w:vAlign w:val="center"/>
          </w:tcPr>
          <w:p>
            <w:pPr>
              <w:pStyle w:val="TableContents"/>
              <w:bidi w:val="0"/>
              <w:spacing w:before="0" w:after="283"/>
              <w:jc w:val="left"/>
              <w:rPr/>
            </w:pPr>
            <w:r>
              <w:rPr/>
              <w:t>Adjusted EBITDA as % of net revenue (note)</w:t>
            </w:r>
          </w:p>
        </w:tc>
        <w:tc>
          <w:tcPr>
            <w:tcW w:w="2176" w:type="dxa"/>
            <w:tcBorders/>
            <w:tcMar>
              <w:top w:w="28" w:type="dxa"/>
              <w:left w:w="28" w:type="dxa"/>
              <w:right w:w="28" w:type="dxa"/>
            </w:tcMar>
            <w:vAlign w:val="center"/>
          </w:tcPr>
          <w:p>
            <w:pPr>
              <w:pStyle w:val="TableContents"/>
              <w:bidi w:val="0"/>
              <w:spacing w:before="0" w:after="283"/>
              <w:jc w:val="center"/>
              <w:rPr/>
            </w:pPr>
            <w:r>
              <w:rPr/>
              <w:t>17.8% to 18.3%</w:t>
            </w:r>
          </w:p>
        </w:tc>
      </w:tr>
      <w:tr>
        <w:trPr/>
        <w:tc>
          <w:tcPr>
            <w:tcW w:w="4606" w:type="dxa"/>
            <w:tcBorders/>
            <w:tcMar>
              <w:top w:w="28" w:type="dxa"/>
              <w:left w:w="28" w:type="dxa"/>
              <w:right w:w="28" w:type="dxa"/>
            </w:tcMar>
            <w:vAlign w:val="center"/>
          </w:tcPr>
          <w:p>
            <w:pPr>
              <w:pStyle w:val="TableContents"/>
              <w:bidi w:val="0"/>
              <w:spacing w:before="0" w:after="283"/>
              <w:jc w:val="left"/>
              <w:rPr/>
            </w:pPr>
            <w:r>
              <w:rPr/>
              <w:t>Adjusted net income as % of net revenue (note)</w:t>
            </w:r>
          </w:p>
        </w:tc>
        <w:tc>
          <w:tcPr>
            <w:tcW w:w="2176" w:type="dxa"/>
            <w:tcBorders/>
            <w:tcMar>
              <w:top w:w="28" w:type="dxa"/>
              <w:left w:w="28" w:type="dxa"/>
              <w:right w:w="28" w:type="dxa"/>
            </w:tcMar>
            <w:vAlign w:val="center"/>
          </w:tcPr>
          <w:p>
            <w:pPr>
              <w:pStyle w:val="TableContents"/>
              <w:bidi w:val="0"/>
              <w:spacing w:before="0" w:after="283"/>
              <w:jc w:val="center"/>
              <w:rPr/>
            </w:pPr>
            <w:r>
              <w:rPr/>
              <w:t>at or above 9.5%</w:t>
            </w:r>
          </w:p>
        </w:tc>
      </w:tr>
      <w:tr>
        <w:trPr/>
        <w:tc>
          <w:tcPr>
            <w:tcW w:w="4606" w:type="dxa"/>
            <w:tcBorders/>
            <w:tcMar>
              <w:top w:w="28" w:type="dxa"/>
              <w:left w:w="28" w:type="dxa"/>
              <w:right w:w="28" w:type="dxa"/>
            </w:tcMar>
            <w:vAlign w:val="center"/>
          </w:tcPr>
          <w:p>
            <w:pPr>
              <w:pStyle w:val="TableContents"/>
              <w:bidi w:val="0"/>
              <w:spacing w:before="0" w:after="283"/>
              <w:jc w:val="left"/>
              <w:rPr/>
            </w:pPr>
            <w:r>
              <w:rPr/>
              <w:t>Adjusted EPS growth (note)</w:t>
            </w:r>
          </w:p>
        </w:tc>
        <w:tc>
          <w:tcPr>
            <w:tcW w:w="2176" w:type="dxa"/>
            <w:tcBorders/>
            <w:tcMar>
              <w:top w:w="28" w:type="dxa"/>
              <w:left w:w="28" w:type="dxa"/>
              <w:right w:w="28" w:type="dxa"/>
            </w:tcMar>
            <w:vAlign w:val="center"/>
          </w:tcPr>
          <w:p>
            <w:pPr>
              <w:pStyle w:val="TableContents"/>
              <w:bidi w:val="0"/>
              <w:spacing w:before="0" w:after="283"/>
              <w:jc w:val="center"/>
              <w:rPr/>
            </w:pPr>
            <w:r>
              <w:rPr/>
              <w:t>15% to 18%</w:t>
            </w:r>
          </w:p>
        </w:tc>
      </w:tr>
      <w:tr>
        <w:trPr/>
        <w:tc>
          <w:tcPr>
            <w:tcW w:w="4606" w:type="dxa"/>
            <w:tcBorders>
              <w:bottom w:val="single" w:sz="8" w:space="0" w:color="000000"/>
            </w:tcBorders>
            <w:vAlign w:val="center"/>
          </w:tcPr>
          <w:p>
            <w:pPr>
              <w:pStyle w:val="TableContents"/>
              <w:bidi w:val="0"/>
              <w:spacing w:before="0" w:after="283"/>
              <w:jc w:val="left"/>
              <w:rPr/>
            </w:pPr>
            <w:r>
              <w:rPr/>
              <w:t>Adjusted ROIC (note)</w:t>
            </w:r>
          </w:p>
        </w:tc>
        <w:tc>
          <w:tcPr>
            <w:tcW w:w="2176" w:type="dxa"/>
            <w:tcBorders>
              <w:bottom w:val="single" w:sz="8" w:space="0" w:color="000000"/>
            </w:tcBorders>
            <w:vAlign w:val="center"/>
          </w:tcPr>
          <w:p>
            <w:pPr>
              <w:pStyle w:val="TableContents"/>
              <w:bidi w:val="0"/>
              <w:spacing w:before="0" w:after="283"/>
              <w:jc w:val="center"/>
              <w:rPr/>
            </w:pPr>
            <w:r>
              <w:rPr/>
              <w:t>above 13%</w:t>
            </w:r>
          </w:p>
        </w:tc>
      </w:tr>
    </w:tbl>
    <w:p>
      <w:pPr>
        <w:pStyle w:val="TextBody"/>
        <w:bidi w:val="0"/>
        <w:spacing w:before="0" w:after="283"/>
        <w:jc w:val="left"/>
        <w:rPr/>
      </w:pPr>
      <w:r>
        <w:rPr/>
        <w:t>In setting targets and guidance, Stantec assumed an average value for the US dollar of $1.38, GBP of $1.85, and AU of $0.98 for the remainder of the year. For all other underlying assumptions, see page M-20.</w:t>
      </w:r>
    </w:p>
    <w:p>
      <w:pPr>
        <w:pStyle w:val="TextBody"/>
        <w:bidi w:val="0"/>
        <w:spacing w:before="0" w:after="283"/>
        <w:jc w:val="left"/>
        <w:rPr/>
      </w:pPr>
      <w:r>
        <w:rPr/>
        <w:t>note: Adjusted EBITDA, adjusted net income, adjusted EPS, and adjusted ROIC are non-IFRS measures discussed in the Definitions section of Stantec's Q2 2026 Management's Discussion and Analysis.</w:t>
      </w:r>
    </w:p>
    <w:p>
      <w:pPr>
        <w:pStyle w:val="TextBody"/>
        <w:bidi w:val="0"/>
        <w:spacing w:before="0" w:after="283"/>
        <w:jc w:val="left"/>
        <w:rPr/>
      </w:pPr>
      <w:r>
        <w:rPr/>
        <w:br/>
        <w:t>The global environment is dynamic, and customer needs continue to evolve, as do public sector policy and investment priorities. While year-to-date results position Stantec favorably to achieve its initial estimate of net revenue growth of 8.5% to 11.5% in 2026, the Company has refined its outlook and now expects organic net revenue growth to be in the mid-single digit range. In the United States, the organic growth in backlog and other customer demand signals support Stantec's continued expectation that results will improve across our business lines and yield mid-single digit organic net revenue growth for the year. In Canada, Stantec also expects organic net revenue growth to improve moderately and achieve mid-single digits by year end, supported by public sector spending plans and continued demand, particularly in our Water and Buildings business lines. Lastly, Stantec continues to expect Global to maintain strong organic net revenue growth in the high-single digits, supported by continued high levels of activity in its Water business under the ongoing Asset Management Program and frameworks, strong demand in Energy &amp; Resources, and positive demand fundamentals across other Global business units.</w:t>
      </w:r>
    </w:p>
    <w:p>
      <w:pPr>
        <w:pStyle w:val="TextBody"/>
        <w:bidi w:val="0"/>
        <w:spacing w:before="0" w:after="283"/>
        <w:jc w:val="left"/>
        <w:rPr/>
      </w:pPr>
      <w:r>
        <w:rPr/>
        <w:t>Stantec's year-to-date results reflect strong margin improvements and effectiveness in managing operating costs, and the Company has refined its estimate of adjusted EBITDA margin accordingly. Stantec expects that adjusted EBITDA margin will reach a record range of 17.8% to 18.3% in 2026, reflecting an increase in the low end of its targeted range from 17.6% to 17.8%, and an increase in the high end of the range from 18.2% to 18.3%. This improvement reflects strong project margins resulting from solid project execution, as well as continued focus on enhanced strategies in the management of administration and marketing costs. These initiatives include the continued expansion of Stantec's high-value centers, optimization of digital strategies, and increased efficiencies from improved scale in certain key geographies.</w:t>
      </w:r>
    </w:p>
    <w:p>
      <w:pPr>
        <w:pStyle w:val="TextBody"/>
        <w:bidi w:val="0"/>
        <w:spacing w:before="0" w:after="283"/>
        <w:jc w:val="left"/>
        <w:rPr/>
      </w:pPr>
      <w:r>
        <w:rPr/>
        <w:t>Overall, Stantec expects to achieve an adjusted net income margin at or above 9.5% of net revenue, an adjusted ROIC greater than 13%, and to deliver 15% to 18% growth in adjusted EPS compared to 2025.</w:t>
      </w:r>
    </w:p>
    <w:p>
      <w:pPr>
        <w:pStyle w:val="TextBody"/>
        <w:bidi w:val="0"/>
        <w:spacing w:before="0" w:after="283"/>
        <w:jc w:val="left"/>
        <w:rPr/>
      </w:pPr>
      <w:r>
        <w:rPr/>
        <w:t>The above targets do not include any assumptions related to additional acquisitions, given the unpredictable nature of the timing and size of such transactions.</w:t>
      </w:r>
    </w:p>
    <w:p>
      <w:pPr>
        <w:pStyle w:val="TextBody"/>
        <w:bidi w:val="0"/>
        <w:spacing w:before="0" w:after="283"/>
        <w:jc w:val="left"/>
        <w:rPr/>
      </w:pPr>
      <w:r>
        <w:rPr>
          <w:rStyle w:val="StrongEmphasis"/>
        </w:rPr>
        <w:t>Q2 2026 compared to Q2 2025</w:t>
      </w:r>
    </w:p>
    <w:p>
      <w:pPr>
        <w:pStyle w:val="TextBody"/>
        <w:bidi w:val="0"/>
        <w:spacing w:before="0" w:after="283"/>
        <w:jc w:val="left"/>
        <w:rPr/>
      </w:pPr>
      <w:r>
        <w:rPr/>
        <w:t>Stantec achieved strong second quarter adjusted net income of $182.5 million and adjusted earnings per share of $1.61, reflecting an increase of 18.4%, driven by net revenue growth and strong operational performance.</w:t>
      </w:r>
    </w:p>
    <w:p>
      <w:pPr>
        <w:pStyle w:val="TextBody"/>
        <w:numPr>
          <w:ilvl w:val="0"/>
          <w:numId w:val="3"/>
        </w:numPr>
        <w:tabs>
          <w:tab w:val="clear" w:pos="1134"/>
          <w:tab w:val="left" w:pos="709" w:leader="none"/>
        </w:tabs>
        <w:bidi w:val="0"/>
        <w:spacing w:before="80" w:after="80"/>
        <w:ind w:left="709" w:hanging="283"/>
        <w:jc w:val="left"/>
        <w:rPr/>
      </w:pPr>
      <w:r>
        <w:rPr/>
        <w:t>Net revenue increased 11.5% or $183.9 million, to $1.8 billion, driven by acquisition growth of 7.1%, which primarily reflects the strong results of Page in Stantec's US operations, and organic growth of 3.7%. Organic growth was driven by Stantec's Global region of 12.8%.</w:t>
      </w:r>
    </w:p>
    <w:p>
      <w:pPr>
        <w:pStyle w:val="TextBody"/>
        <w:numPr>
          <w:ilvl w:val="0"/>
          <w:numId w:val="3"/>
        </w:numPr>
        <w:tabs>
          <w:tab w:val="clear" w:pos="1134"/>
          <w:tab w:val="left" w:pos="709" w:leader="none"/>
        </w:tabs>
        <w:bidi w:val="0"/>
        <w:spacing w:before="80" w:after="80"/>
        <w:ind w:left="709" w:hanging="283"/>
        <w:jc w:val="left"/>
        <w:rPr/>
      </w:pPr>
      <w:r>
        <w:rPr/>
        <w:t>Project margin increased 12.3% or $106.0 million, to $970.7 million as a result of net revenue growth and solid project execution. Project margin, as a percentage of net revenue, increased by 30 basis points to 54.5%.</w:t>
      </w:r>
    </w:p>
    <w:p>
      <w:pPr>
        <w:pStyle w:val="TextBody"/>
        <w:numPr>
          <w:ilvl w:val="0"/>
          <w:numId w:val="3"/>
        </w:numPr>
        <w:tabs>
          <w:tab w:val="clear" w:pos="1134"/>
          <w:tab w:val="left" w:pos="709" w:leader="none"/>
        </w:tabs>
        <w:bidi w:val="0"/>
        <w:spacing w:before="0" w:after="0"/>
        <w:ind w:left="709" w:hanging="283"/>
        <w:jc w:val="left"/>
        <w:rPr/>
      </w:pPr>
      <w:r>
        <w:rPr/>
        <w:t>Adjusted EBITDA increased 17.1% or $48.5 million, to $332.9 million. Adjusted EBITDA margin was 18.7%, an increase of 90 basis points compared to Q2 2025. The growth in margin was primarily due to the increase in net revenue, solid project margin, and lower administrative and marketing expenses as a percentage of net revenue, reflecting our focus on efficient management of operations and optimization of discretionary spending.</w:t>
      </w:r>
    </w:p>
    <w:p>
      <w:pPr>
        <w:pStyle w:val="TextBody"/>
        <w:numPr>
          <w:ilvl w:val="0"/>
          <w:numId w:val="3"/>
        </w:numPr>
        <w:tabs>
          <w:tab w:val="clear" w:pos="1134"/>
          <w:tab w:val="left" w:pos="709" w:leader="none"/>
        </w:tabs>
        <w:bidi w:val="0"/>
        <w:spacing w:before="80" w:after="80"/>
        <w:ind w:left="709" w:hanging="283"/>
        <w:jc w:val="left"/>
        <w:rPr/>
      </w:pPr>
      <w:r>
        <w:rPr/>
        <w:t>Net income increased 11.0% or $14.9 million, to $150.3 million, and diluted EPS increased 11.0%, or $0.13, to $1.32, mainly due to net revenue growth and solid project margin, and, as a percentage of net revenue, a 110 basis point reduction in administrative and marketing expenses, partly offset by impairment recorded on lease assets and higher amortization of intangible assets as a result of Stantec's recent acquisitions.</w:t>
      </w:r>
    </w:p>
    <w:p>
      <w:pPr>
        <w:pStyle w:val="TextBody"/>
        <w:numPr>
          <w:ilvl w:val="0"/>
          <w:numId w:val="3"/>
        </w:numPr>
        <w:tabs>
          <w:tab w:val="clear" w:pos="1134"/>
          <w:tab w:val="left" w:pos="709" w:leader="none"/>
        </w:tabs>
        <w:bidi w:val="0"/>
        <w:spacing w:before="80" w:after="80"/>
        <w:ind w:left="709" w:hanging="283"/>
        <w:jc w:val="left"/>
        <w:rPr/>
      </w:pPr>
      <w:r>
        <w:rPr/>
        <w:t>Adjusted net income grew 18.0% or $27.8 million, to $182.5 million, achieving 10.2% of net revenue—an increase of 50 basis points compared to Q2 2025. Adjusted EPS increased 18.4% or $0.25, to $1.61.</w:t>
      </w:r>
    </w:p>
    <w:p>
      <w:pPr>
        <w:pStyle w:val="TextBody"/>
        <w:numPr>
          <w:ilvl w:val="0"/>
          <w:numId w:val="3"/>
        </w:numPr>
        <w:tabs>
          <w:tab w:val="clear" w:pos="1134"/>
          <w:tab w:val="left" w:pos="709" w:leader="none"/>
        </w:tabs>
        <w:bidi w:val="0"/>
        <w:spacing w:before="80" w:after="80"/>
        <w:ind w:left="709" w:hanging="283"/>
        <w:jc w:val="left"/>
        <w:rPr/>
      </w:pPr>
      <w:r>
        <w:rPr/>
        <w:t>Contract backlog grew to $9.2 billion at June 30, 2026, achieving a 17.5% year over year increase, which included 7.8% acquisition growth and 7.0% organic growth. Notably, Stantec's acquisition of Page contributed to over 40% backlog growth in its Buildings business. Additionally, organic growth was achieved in all regions, driven primarily by nearly 25% organic growth in its Global region and over 10% organic growth in its Water business. Contract backlog represents approximately 13 months of work.</w:t>
      </w:r>
    </w:p>
    <w:p>
      <w:pPr>
        <w:pStyle w:val="TextBody"/>
        <w:numPr>
          <w:ilvl w:val="0"/>
          <w:numId w:val="3"/>
        </w:numPr>
        <w:tabs>
          <w:tab w:val="clear" w:pos="1134"/>
          <w:tab w:val="left" w:pos="709" w:leader="none"/>
        </w:tabs>
        <w:bidi w:val="0"/>
        <w:spacing w:before="80" w:after="80"/>
        <w:ind w:left="709" w:hanging="283"/>
        <w:jc w:val="left"/>
        <w:rPr/>
      </w:pPr>
      <w:r>
        <w:rPr/>
        <w:t>Cash flows from operations were $118.6 million, which was a decrease of $15.4 million compared to Q2 2025. This reflects required investment in net working capital as a result of revenue growth.</w:t>
      </w:r>
    </w:p>
    <w:p>
      <w:pPr>
        <w:pStyle w:val="TextBody"/>
        <w:numPr>
          <w:ilvl w:val="0"/>
          <w:numId w:val="3"/>
        </w:numPr>
        <w:tabs>
          <w:tab w:val="clear" w:pos="1134"/>
          <w:tab w:val="left" w:pos="709" w:leader="none"/>
        </w:tabs>
        <w:bidi w:val="0"/>
        <w:spacing w:before="80" w:after="80"/>
        <w:ind w:left="709" w:hanging="283"/>
        <w:jc w:val="left"/>
        <w:rPr/>
      </w:pPr>
      <w:r>
        <w:rPr/>
        <w:t>Days sales outstanding (DSO) was 75 days, an increase of two days compared to Q2 2025 and within Stantec's target of 75 days.</w:t>
      </w:r>
    </w:p>
    <w:p>
      <w:pPr>
        <w:pStyle w:val="TextBody"/>
        <w:numPr>
          <w:ilvl w:val="0"/>
          <w:numId w:val="3"/>
        </w:numPr>
        <w:tabs>
          <w:tab w:val="clear" w:pos="1134"/>
          <w:tab w:val="left" w:pos="709" w:leader="none"/>
        </w:tabs>
        <w:bidi w:val="0"/>
        <w:spacing w:before="80" w:after="80"/>
        <w:ind w:left="709" w:hanging="283"/>
        <w:jc w:val="left"/>
        <w:rPr/>
      </w:pPr>
      <w:r>
        <w:rPr/>
        <w:t>Net debt to adjusted EBITDA (on a trailing twelve-month basis) at June 30, 2026 remained at 1.3x, within Stantec's internal target range of 1.0x to 2.0x.</w:t>
      </w:r>
    </w:p>
    <w:p>
      <w:pPr>
        <w:pStyle w:val="TextBody"/>
        <w:numPr>
          <w:ilvl w:val="0"/>
          <w:numId w:val="3"/>
        </w:numPr>
        <w:tabs>
          <w:tab w:val="clear" w:pos="1134"/>
          <w:tab w:val="left" w:pos="709" w:leader="none"/>
        </w:tabs>
        <w:bidi w:val="0"/>
        <w:spacing w:before="80" w:after="80"/>
        <w:ind w:left="709" w:hanging="283"/>
        <w:jc w:val="left"/>
        <w:rPr/>
      </w:pPr>
      <w:r>
        <w:rPr/>
        <w:t>On July 31, 2026 Stantec acquired Niche, a 200-person engineering and environmental consultancy firm in Australia, bolstering its Environmental Services operations.</w:t>
      </w:r>
    </w:p>
    <w:p>
      <w:pPr>
        <w:pStyle w:val="TextBody"/>
        <w:numPr>
          <w:ilvl w:val="0"/>
          <w:numId w:val="3"/>
        </w:numPr>
        <w:tabs>
          <w:tab w:val="clear" w:pos="1134"/>
          <w:tab w:val="left" w:pos="709" w:leader="none"/>
        </w:tabs>
        <w:bidi w:val="0"/>
        <w:spacing w:before="80" w:after="80"/>
        <w:ind w:left="709" w:hanging="283"/>
        <w:jc w:val="left"/>
        <w:rPr/>
      </w:pPr>
      <w:r>
        <w:rPr/>
        <w:t>On August 12, 2026, Stantec's Board of Directors declared a dividend of $0.245 per share, payable on October 15, 2026, to shareholders of record on September 29, 2026.</w:t>
      </w:r>
    </w:p>
    <w:p>
      <w:pPr>
        <w:pStyle w:val="TextBody"/>
        <w:bidi w:val="0"/>
        <w:spacing w:before="0" w:after="283"/>
        <w:jc w:val="left"/>
        <w:rPr/>
      </w:pPr>
      <w:r>
        <w:rPr>
          <w:rStyle w:val="StrongEmphasis"/>
        </w:rPr>
        <w:t>Year-to-date Q2 2026 compared to year-to-date Q2 2025</w:t>
      </w:r>
    </w:p>
    <w:p>
      <w:pPr>
        <w:pStyle w:val="TextBody"/>
        <w:numPr>
          <w:ilvl w:val="0"/>
          <w:numId w:val="4"/>
        </w:numPr>
        <w:tabs>
          <w:tab w:val="clear" w:pos="1134"/>
          <w:tab w:val="left" w:pos="709" w:leader="none"/>
        </w:tabs>
        <w:bidi w:val="0"/>
        <w:spacing w:before="80" w:after="80"/>
        <w:ind w:left="709" w:hanging="283"/>
        <w:jc w:val="left"/>
        <w:rPr/>
      </w:pPr>
      <w:r>
        <w:rPr/>
        <w:t>Net revenue increased 10.3% or $325.2 million, to $3.5 billion, driven by acquisition growth of 7.2%, which primarily reflects strong results of Page in Stantec's US operations, and organic growth of 3.7%. Organic growth was driven by Stantec's Global region of 10.4% combined with modest growth in Canada and the United States. The largest driver of organic growth was a 13.0% increase in net revenue from Stantec's Water business.</w:t>
      </w:r>
    </w:p>
    <w:p>
      <w:pPr>
        <w:pStyle w:val="TextBody"/>
        <w:numPr>
          <w:ilvl w:val="0"/>
          <w:numId w:val="4"/>
        </w:numPr>
        <w:tabs>
          <w:tab w:val="clear" w:pos="1134"/>
          <w:tab w:val="left" w:pos="709" w:leader="none"/>
        </w:tabs>
        <w:bidi w:val="0"/>
        <w:spacing w:before="80" w:after="80"/>
        <w:ind w:left="709" w:hanging="283"/>
        <w:jc w:val="left"/>
        <w:rPr/>
      </w:pPr>
      <w:r>
        <w:rPr/>
        <w:t>Project margin increased $176.6 million or 10.3%, to $1.9 billion. As a percentage of net revenue, project margin remained consistent with the prior year at 54.2%.</w:t>
      </w:r>
    </w:p>
    <w:p>
      <w:pPr>
        <w:pStyle w:val="TextBody"/>
        <w:numPr>
          <w:ilvl w:val="0"/>
          <w:numId w:val="4"/>
        </w:numPr>
        <w:tabs>
          <w:tab w:val="clear" w:pos="1134"/>
          <w:tab w:val="left" w:pos="709" w:leader="none"/>
        </w:tabs>
        <w:bidi w:val="0"/>
        <w:spacing w:before="80" w:after="80"/>
        <w:ind w:left="709" w:hanging="283"/>
        <w:jc w:val="left"/>
        <w:rPr/>
      </w:pPr>
      <w:r>
        <w:rPr/>
        <w:t>Adjusted EBITDA increased $83.2 million or 15.5%, to $619.9 million. Adjusted EBITDA margin increased by 80 basis points over the prior period to 17.8%, primarily due to lower administrative and marketing expenses as a percentage of net revenue, reflecting Stantec's focus on efficient management of operations and optimization of discretionary spending.</w:t>
      </w:r>
    </w:p>
    <w:p>
      <w:pPr>
        <w:pStyle w:val="TextBody"/>
        <w:numPr>
          <w:ilvl w:val="0"/>
          <w:numId w:val="4"/>
        </w:numPr>
        <w:tabs>
          <w:tab w:val="clear" w:pos="1134"/>
          <w:tab w:val="left" w:pos="709" w:leader="none"/>
        </w:tabs>
        <w:bidi w:val="0"/>
        <w:spacing w:before="80" w:after="80"/>
        <w:ind w:left="709" w:hanging="283"/>
        <w:jc w:val="left"/>
        <w:rPr/>
      </w:pPr>
      <w:r>
        <w:rPr/>
        <w:t>Net income increased 10.9% or $25.6 million, to $261.1 million, and diluted EPS increased 11.2%, or $0.23, to $2.29, mainly due to higher net revenue and lower administrative and marketing expenses as a percentage of net revenue partly offset by higher amortization of intangible assets and lease asset impairment.</w:t>
      </w:r>
    </w:p>
    <w:p>
      <w:pPr>
        <w:pStyle w:val="TextBody"/>
        <w:numPr>
          <w:ilvl w:val="0"/>
          <w:numId w:val="4"/>
        </w:numPr>
        <w:tabs>
          <w:tab w:val="clear" w:pos="1134"/>
          <w:tab w:val="left" w:pos="709" w:leader="none"/>
        </w:tabs>
        <w:bidi w:val="0"/>
        <w:spacing w:before="80" w:after="80"/>
        <w:ind w:left="709" w:hanging="283"/>
        <w:jc w:val="left"/>
        <w:rPr/>
      </w:pPr>
      <w:r>
        <w:rPr/>
        <w:t>Adjusted net income grew 16.4% or $47.2 million, to $334.7 million, achieving 9.6% of net revenue—an increase of 50 basis points—and adjusted EPS increased 16.7%, or $0.42, to $2.94.</w:t>
      </w:r>
    </w:p>
    <w:p>
      <w:pPr>
        <w:pStyle w:val="TextBody"/>
        <w:numPr>
          <w:ilvl w:val="0"/>
          <w:numId w:val="4"/>
        </w:numPr>
        <w:tabs>
          <w:tab w:val="clear" w:pos="1134"/>
          <w:tab w:val="left" w:pos="709" w:leader="none"/>
        </w:tabs>
        <w:bidi w:val="0"/>
        <w:spacing w:before="80" w:after="80"/>
        <w:ind w:left="709" w:hanging="283"/>
        <w:jc w:val="left"/>
        <w:rPr/>
      </w:pPr>
      <w:r>
        <w:rPr/>
        <w:t>Cash flows from operations were $116.3 million, a decrease of $118.4 million compared to the prior year. This reflects the required investment in net working capital as a result of revenue growth and the impacts of the Page integration in Q1 2026.</w:t>
      </w:r>
    </w:p>
    <w:p>
      <w:pPr>
        <w:pStyle w:val="TextBody"/>
        <w:bidi w:val="0"/>
        <w:spacing w:before="0" w:after="283"/>
        <w:jc w:val="left"/>
        <w:rPr/>
      </w:pPr>
      <w:r>
        <w:rPr>
          <w:rStyle w:val="StrongEmphasis"/>
        </w:rPr>
        <w:t>Q2 2026 Financial Highlights</w:t>
      </w:r>
    </w:p>
    <w:tbl>
      <w:tblPr>
        <w:tblW w:w="8994" w:type="dxa"/>
        <w:jc w:val="left"/>
        <w:tblInd w:w="0" w:type="dxa"/>
        <w:tblLayout w:type="fixed"/>
        <w:tblCellMar>
          <w:top w:w="28" w:type="dxa"/>
          <w:left w:w="28" w:type="dxa"/>
          <w:bottom w:w="28" w:type="dxa"/>
          <w:right w:w="28" w:type="dxa"/>
        </w:tblCellMar>
      </w:tblPr>
      <w:tblGrid>
        <w:gridCol w:w="4891"/>
        <w:gridCol w:w="826"/>
        <w:gridCol w:w="181"/>
        <w:gridCol w:w="646"/>
        <w:gridCol w:w="376"/>
        <w:gridCol w:w="826"/>
        <w:gridCol w:w="181"/>
        <w:gridCol w:w="646"/>
        <w:gridCol w:w="421"/>
      </w:tblGrid>
      <w:tr>
        <w:trPr/>
        <w:tc>
          <w:tcPr>
            <w:tcW w:w="4891" w:type="dxa"/>
            <w:tcBorders/>
            <w:vAlign w:val="center"/>
          </w:tcPr>
          <w:p>
            <w:pPr>
              <w:pStyle w:val="TableContents"/>
              <w:bidi w:val="0"/>
              <w:spacing w:before="0" w:after="283"/>
              <w:jc w:val="left"/>
              <w:rPr/>
            </w:pPr>
            <w:r>
              <w:rPr/>
              <w:t> </w:t>
            </w:r>
          </w:p>
        </w:tc>
        <w:tc>
          <w:tcPr>
            <w:tcW w:w="4103" w:type="dxa"/>
            <w:gridSpan w:val="8"/>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For the quarter ended</w:t>
            </w:r>
            <w:r>
              <w:rPr/>
              <w:br/>
            </w:r>
            <w:r>
              <w:rPr>
                <w:rStyle w:val="StrongEmphasis"/>
              </w:rPr>
              <w:t>June 30,</w:t>
            </w:r>
          </w:p>
        </w:tc>
      </w:tr>
      <w:tr>
        <w:trPr/>
        <w:tc>
          <w:tcPr>
            <w:tcW w:w="4891" w:type="dxa"/>
            <w:tcBorders/>
            <w:vAlign w:val="center"/>
          </w:tcPr>
          <w:p>
            <w:pPr>
              <w:pStyle w:val="TableContents"/>
              <w:bidi w:val="0"/>
              <w:spacing w:before="0" w:after="283"/>
              <w:jc w:val="left"/>
              <w:rPr/>
            </w:pPr>
            <w:r>
              <w:rPr/>
              <w:t> </w:t>
            </w:r>
          </w:p>
        </w:tc>
        <w:tc>
          <w:tcPr>
            <w:tcW w:w="165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37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65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42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Style w:val="Emphasis"/>
              </w:rPr>
              <w:t>(In millions of Canadian dollars,</w:t>
            </w:r>
            <w:r>
              <w:rPr/>
              <w:br/>
            </w:r>
            <w:r>
              <w:rPr>
                <w:rStyle w:val="Emphasis"/>
              </w:rPr>
              <w:t>except per share amounts and percentages)</w:t>
            </w:r>
          </w:p>
        </w:tc>
        <w:tc>
          <w:tcPr>
            <w:tcW w:w="1007" w:type="dxa"/>
            <w:gridSpan w:val="2"/>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w:t>
            </w:r>
          </w:p>
        </w:tc>
        <w:tc>
          <w:tcPr>
            <w:tcW w:w="102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 of Net</w:t>
            </w:r>
            <w:r>
              <w:rPr/>
              <w:br/>
            </w:r>
            <w:r>
              <w:rPr>
                <w:rStyle w:val="StrongEmphasis"/>
              </w:rPr>
              <w:t>Revenue</w:t>
            </w:r>
          </w:p>
        </w:tc>
        <w:tc>
          <w:tcPr>
            <w:tcW w:w="1007" w:type="dxa"/>
            <w:gridSpan w:val="2"/>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w:t>
            </w:r>
          </w:p>
        </w:tc>
        <w:tc>
          <w:tcPr>
            <w:tcW w:w="106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 of Net</w:t>
            </w:r>
            <w:r>
              <w:rPr/>
              <w:br/>
            </w:r>
            <w:r>
              <w:rPr>
                <w:rStyle w:val="StrongEmphasis"/>
              </w:rPr>
              <w:t>Revenue</w:t>
            </w:r>
          </w:p>
        </w:tc>
      </w:tr>
      <w:tr>
        <w:trPr/>
        <w:tc>
          <w:tcPr>
            <w:tcW w:w="489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rStyle w:val="StrongEmphasis"/>
              </w:rPr>
              <w:t>Gross revenue</w:t>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2,228.0</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125.1</w:t>
            </w:r>
          </w:p>
        </w:tc>
        <w:tc>
          <w:tcPr>
            <w:tcW w:w="37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rStyle w:val="StrongEmphasis"/>
              </w:rPr>
              <w:t>%</w:t>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1,964.3</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123.0</w:t>
            </w:r>
          </w:p>
        </w:tc>
        <w:tc>
          <w:tcPr>
            <w:tcW w:w="42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r>
      <w:tr>
        <w:trPr/>
        <w:tc>
          <w:tcPr>
            <w:tcW w:w="4891" w:type="dxa"/>
            <w:tcBorders/>
            <w:vAlign w:val="center"/>
          </w:tcPr>
          <w:p>
            <w:pPr>
              <w:pStyle w:val="TableContents"/>
              <w:bidi w:val="0"/>
              <w:spacing w:before="0" w:after="283"/>
              <w:jc w:val="left"/>
              <w:rPr/>
            </w:pPr>
            <w:r>
              <w:rPr>
                <w:rStyle w:val="StrongEmphasis"/>
              </w:rPr>
              <w:t>Net revenue</w:t>
            </w:r>
          </w:p>
        </w:tc>
        <w:tc>
          <w:tcPr>
            <w:tcW w:w="826" w:type="dxa"/>
            <w:tcBorders/>
            <w:vAlign w:val="center"/>
          </w:tcPr>
          <w:p>
            <w:pPr>
              <w:pStyle w:val="TableContents"/>
              <w:bidi w:val="0"/>
              <w:spacing w:before="0" w:after="283"/>
              <w:jc w:val="right"/>
              <w:rPr/>
            </w:pPr>
            <w:r>
              <w:rPr>
                <w:rStyle w:val="StrongEmphasis"/>
              </w:rPr>
              <w:t>1,780.6</w:t>
            </w:r>
          </w:p>
        </w:tc>
        <w:tc>
          <w:tcPr>
            <w:tcW w:w="18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rStyle w:val="StrongEmphasis"/>
              </w:rPr>
              <w:t>100.0</w:t>
            </w:r>
          </w:p>
        </w:tc>
        <w:tc>
          <w:tcPr>
            <w:tcW w:w="376" w:type="dxa"/>
            <w:tcBorders/>
            <w:vAlign w:val="center"/>
          </w:tcPr>
          <w:p>
            <w:pPr>
              <w:pStyle w:val="TableContents"/>
              <w:bidi w:val="0"/>
              <w:spacing w:before="0" w:after="283"/>
              <w:jc w:val="left"/>
              <w:rPr/>
            </w:pPr>
            <w:r>
              <w:rPr>
                <w:rStyle w:val="StrongEmphasis"/>
              </w:rPr>
              <w:t>%</w:t>
            </w:r>
          </w:p>
        </w:tc>
        <w:tc>
          <w:tcPr>
            <w:tcW w:w="826" w:type="dxa"/>
            <w:tcBorders/>
            <w:vAlign w:val="center"/>
          </w:tcPr>
          <w:p>
            <w:pPr>
              <w:pStyle w:val="TableContents"/>
              <w:bidi w:val="0"/>
              <w:spacing w:before="0" w:after="283"/>
              <w:jc w:val="right"/>
              <w:rPr/>
            </w:pPr>
            <w:r>
              <w:rPr/>
              <w:t>1,596.7</w:t>
            </w:r>
          </w:p>
        </w:tc>
        <w:tc>
          <w:tcPr>
            <w:tcW w:w="18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100.0</w:t>
            </w:r>
          </w:p>
        </w:tc>
        <w:tc>
          <w:tcPr>
            <w:tcW w:w="421" w:type="dxa"/>
            <w:tcBorders/>
            <w:vAlign w:val="center"/>
          </w:tcPr>
          <w:p>
            <w:pPr>
              <w:pStyle w:val="TableContents"/>
              <w:bidi w:val="0"/>
              <w:spacing w:before="0" w:after="283"/>
              <w:jc w:val="left"/>
              <w:rPr/>
            </w:pPr>
            <w:r>
              <w:rPr/>
              <w:t>%</w:t>
            </w:r>
          </w:p>
        </w:tc>
      </w:tr>
      <w:tr>
        <w:trPr/>
        <w:tc>
          <w:tcPr>
            <w:tcW w:w="48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Direct payroll costs</w:t>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809.9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45.5</w:t>
            </w:r>
          </w:p>
        </w:tc>
        <w:tc>
          <w:tcPr>
            <w:tcW w:w="37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732.0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45.8</w:t>
            </w:r>
          </w:p>
        </w:tc>
        <w:tc>
          <w:tcPr>
            <w:tcW w:w="42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8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Project margin</w:t>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970.7</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6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54.5</w:t>
            </w:r>
          </w:p>
        </w:tc>
        <w:tc>
          <w:tcPr>
            <w:tcW w:w="37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864.7</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6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54.2</w:t>
            </w:r>
          </w:p>
        </w:tc>
        <w:tc>
          <w:tcPr>
            <w:tcW w:w="42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r>
      <w:tr>
        <w:trPr/>
        <w:tc>
          <w:tcPr>
            <w:tcW w:w="489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Administrative and marketing expenses</w:t>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648.2</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36.4</w:t>
            </w:r>
          </w:p>
        </w:tc>
        <w:tc>
          <w:tcPr>
            <w:tcW w:w="37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598.3</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37.5</w:t>
            </w:r>
          </w:p>
        </w:tc>
        <w:tc>
          <w:tcPr>
            <w:tcW w:w="42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r>
      <w:tr>
        <w:trPr/>
        <w:tc>
          <w:tcPr>
            <w:tcW w:w="4891" w:type="dxa"/>
            <w:tcBorders/>
            <w:vAlign w:val="center"/>
          </w:tcPr>
          <w:p>
            <w:pPr>
              <w:pStyle w:val="TableContents"/>
              <w:bidi w:val="0"/>
              <w:spacing w:before="0" w:after="283"/>
              <w:jc w:val="left"/>
              <w:rPr/>
            </w:pPr>
            <w:r>
              <w:rPr/>
              <w:t>Depreciation of property and equipment</w:t>
            </w:r>
          </w:p>
        </w:tc>
        <w:tc>
          <w:tcPr>
            <w:tcW w:w="826" w:type="dxa"/>
            <w:tcBorders/>
            <w:vAlign w:val="center"/>
          </w:tcPr>
          <w:p>
            <w:pPr>
              <w:pStyle w:val="TableContents"/>
              <w:bidi w:val="0"/>
              <w:spacing w:before="0" w:after="283"/>
              <w:jc w:val="right"/>
              <w:rPr/>
            </w:pPr>
            <w:r>
              <w:rPr/>
              <w:t>18.1</w:t>
            </w:r>
          </w:p>
        </w:tc>
        <w:tc>
          <w:tcPr>
            <w:tcW w:w="18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1.0</w:t>
            </w:r>
          </w:p>
        </w:tc>
        <w:tc>
          <w:tcPr>
            <w:tcW w:w="37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17.3</w:t>
            </w:r>
          </w:p>
        </w:tc>
        <w:tc>
          <w:tcPr>
            <w:tcW w:w="18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1.1</w:t>
            </w:r>
          </w:p>
        </w:tc>
        <w:tc>
          <w:tcPr>
            <w:tcW w:w="421" w:type="dxa"/>
            <w:tcBorders/>
            <w:vAlign w:val="center"/>
          </w:tcPr>
          <w:p>
            <w:pPr>
              <w:pStyle w:val="TableContents"/>
              <w:bidi w:val="0"/>
              <w:spacing w:before="0" w:after="283"/>
              <w:jc w:val="left"/>
              <w:rPr/>
            </w:pPr>
            <w:r>
              <w:rPr/>
              <w:t>%</w:t>
            </w:r>
          </w:p>
        </w:tc>
      </w:tr>
      <w:tr>
        <w:trPr/>
        <w:tc>
          <w:tcPr>
            <w:tcW w:w="4891" w:type="dxa"/>
            <w:tcBorders/>
            <w:vAlign w:val="center"/>
          </w:tcPr>
          <w:p>
            <w:pPr>
              <w:pStyle w:val="TableContents"/>
              <w:bidi w:val="0"/>
              <w:spacing w:before="0" w:after="283"/>
              <w:jc w:val="left"/>
              <w:rPr/>
            </w:pPr>
            <w:r>
              <w:rPr/>
              <w:t>Depreciation of lease assets</w:t>
            </w:r>
          </w:p>
        </w:tc>
        <w:tc>
          <w:tcPr>
            <w:tcW w:w="826" w:type="dxa"/>
            <w:tcBorders/>
            <w:vAlign w:val="center"/>
          </w:tcPr>
          <w:p>
            <w:pPr>
              <w:pStyle w:val="TableContents"/>
              <w:bidi w:val="0"/>
              <w:spacing w:before="0" w:after="283"/>
              <w:jc w:val="right"/>
              <w:rPr/>
            </w:pPr>
            <w:r>
              <w:rPr/>
              <w:t>35.3</w:t>
            </w:r>
          </w:p>
        </w:tc>
        <w:tc>
          <w:tcPr>
            <w:tcW w:w="18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2.0</w:t>
            </w:r>
          </w:p>
        </w:tc>
        <w:tc>
          <w:tcPr>
            <w:tcW w:w="37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31.1</w:t>
            </w:r>
          </w:p>
        </w:tc>
        <w:tc>
          <w:tcPr>
            <w:tcW w:w="18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1.9</w:t>
            </w:r>
          </w:p>
        </w:tc>
        <w:tc>
          <w:tcPr>
            <w:tcW w:w="421" w:type="dxa"/>
            <w:tcBorders/>
            <w:vAlign w:val="center"/>
          </w:tcPr>
          <w:p>
            <w:pPr>
              <w:pStyle w:val="TableContents"/>
              <w:bidi w:val="0"/>
              <w:spacing w:before="0" w:after="283"/>
              <w:jc w:val="left"/>
              <w:rPr/>
            </w:pPr>
            <w:r>
              <w:rPr/>
              <w:t>%</w:t>
            </w:r>
          </w:p>
        </w:tc>
      </w:tr>
      <w:tr>
        <w:trPr/>
        <w:tc>
          <w:tcPr>
            <w:tcW w:w="4891" w:type="dxa"/>
            <w:tcBorders/>
            <w:vAlign w:val="center"/>
          </w:tcPr>
          <w:p>
            <w:pPr>
              <w:pStyle w:val="TableContents"/>
              <w:bidi w:val="0"/>
              <w:spacing w:before="0" w:after="283"/>
              <w:jc w:val="left"/>
              <w:rPr/>
            </w:pPr>
            <w:r>
              <w:rPr/>
              <w:t>Net impairment (reversal) of lease assets</w:t>
            </w:r>
          </w:p>
        </w:tc>
        <w:tc>
          <w:tcPr>
            <w:tcW w:w="826" w:type="dxa"/>
            <w:tcBorders/>
            <w:vAlign w:val="center"/>
          </w:tcPr>
          <w:p>
            <w:pPr>
              <w:pStyle w:val="TableContents"/>
              <w:bidi w:val="0"/>
              <w:spacing w:before="0" w:after="283"/>
              <w:jc w:val="right"/>
              <w:rPr/>
            </w:pPr>
            <w:r>
              <w:rPr/>
              <w:t>12.9</w:t>
            </w:r>
          </w:p>
        </w:tc>
        <w:tc>
          <w:tcPr>
            <w:tcW w:w="18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0.7</w:t>
            </w:r>
          </w:p>
        </w:tc>
        <w:tc>
          <w:tcPr>
            <w:tcW w:w="37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(0.8</w:t>
            </w:r>
          </w:p>
        </w:tc>
        <w:tc>
          <w:tcPr>
            <w:tcW w:w="181"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283"/>
              <w:jc w:val="right"/>
              <w:rPr/>
            </w:pPr>
            <w:r>
              <w:rPr/>
              <w:t>(0.1</w:t>
            </w:r>
          </w:p>
        </w:tc>
        <w:tc>
          <w:tcPr>
            <w:tcW w:w="421" w:type="dxa"/>
            <w:tcBorders/>
            <w:vAlign w:val="center"/>
          </w:tcPr>
          <w:p>
            <w:pPr>
              <w:pStyle w:val="TableContents"/>
              <w:bidi w:val="0"/>
              <w:spacing w:before="0" w:after="283"/>
              <w:jc w:val="left"/>
              <w:rPr/>
            </w:pPr>
            <w:r>
              <w:rPr/>
              <w:t>%)</w:t>
            </w:r>
          </w:p>
        </w:tc>
      </w:tr>
      <w:tr>
        <w:trPr/>
        <w:tc>
          <w:tcPr>
            <w:tcW w:w="4891" w:type="dxa"/>
            <w:tcBorders/>
            <w:vAlign w:val="center"/>
          </w:tcPr>
          <w:p>
            <w:pPr>
              <w:pStyle w:val="TableContents"/>
              <w:bidi w:val="0"/>
              <w:spacing w:before="0" w:after="283"/>
              <w:jc w:val="left"/>
              <w:rPr/>
            </w:pPr>
            <w:r>
              <w:rPr/>
              <w:t>Amortization of intangible assets</w:t>
            </w:r>
          </w:p>
        </w:tc>
        <w:tc>
          <w:tcPr>
            <w:tcW w:w="826" w:type="dxa"/>
            <w:tcBorders/>
            <w:vAlign w:val="center"/>
          </w:tcPr>
          <w:p>
            <w:pPr>
              <w:pStyle w:val="TableContents"/>
              <w:bidi w:val="0"/>
              <w:spacing w:before="0" w:after="283"/>
              <w:jc w:val="right"/>
              <w:rPr/>
            </w:pPr>
            <w:r>
              <w:rPr/>
              <w:t>40.3</w:t>
            </w:r>
          </w:p>
        </w:tc>
        <w:tc>
          <w:tcPr>
            <w:tcW w:w="18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2.3</w:t>
            </w:r>
          </w:p>
        </w:tc>
        <w:tc>
          <w:tcPr>
            <w:tcW w:w="37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31.3</w:t>
            </w:r>
          </w:p>
        </w:tc>
        <w:tc>
          <w:tcPr>
            <w:tcW w:w="18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2.0</w:t>
            </w:r>
          </w:p>
        </w:tc>
        <w:tc>
          <w:tcPr>
            <w:tcW w:w="421" w:type="dxa"/>
            <w:tcBorders/>
            <w:vAlign w:val="center"/>
          </w:tcPr>
          <w:p>
            <w:pPr>
              <w:pStyle w:val="TableContents"/>
              <w:bidi w:val="0"/>
              <w:spacing w:before="0" w:after="283"/>
              <w:jc w:val="left"/>
              <w:rPr/>
            </w:pPr>
            <w:r>
              <w:rPr/>
              <w:t>%</w:t>
            </w:r>
          </w:p>
        </w:tc>
      </w:tr>
      <w:tr>
        <w:trPr/>
        <w:tc>
          <w:tcPr>
            <w:tcW w:w="4891" w:type="dxa"/>
            <w:tcBorders/>
            <w:vAlign w:val="center"/>
          </w:tcPr>
          <w:p>
            <w:pPr>
              <w:pStyle w:val="TableContents"/>
              <w:bidi w:val="0"/>
              <w:spacing w:before="0" w:after="283"/>
              <w:jc w:val="left"/>
              <w:rPr/>
            </w:pPr>
            <w:r>
              <w:rPr/>
              <w:t>Net interest expense and other net finance expense</w:t>
            </w:r>
          </w:p>
        </w:tc>
        <w:tc>
          <w:tcPr>
            <w:tcW w:w="826" w:type="dxa"/>
            <w:tcBorders/>
            <w:vAlign w:val="center"/>
          </w:tcPr>
          <w:p>
            <w:pPr>
              <w:pStyle w:val="TableContents"/>
              <w:bidi w:val="0"/>
              <w:spacing w:before="0" w:after="283"/>
              <w:jc w:val="right"/>
              <w:rPr/>
            </w:pPr>
            <w:r>
              <w:rPr/>
              <w:t>27.0</w:t>
            </w:r>
          </w:p>
        </w:tc>
        <w:tc>
          <w:tcPr>
            <w:tcW w:w="18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1.5</w:t>
            </w:r>
          </w:p>
        </w:tc>
        <w:tc>
          <w:tcPr>
            <w:tcW w:w="37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21.2</w:t>
            </w:r>
          </w:p>
        </w:tc>
        <w:tc>
          <w:tcPr>
            <w:tcW w:w="18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1.3</w:t>
            </w:r>
          </w:p>
        </w:tc>
        <w:tc>
          <w:tcPr>
            <w:tcW w:w="421" w:type="dxa"/>
            <w:tcBorders/>
            <w:vAlign w:val="center"/>
          </w:tcPr>
          <w:p>
            <w:pPr>
              <w:pStyle w:val="TableContents"/>
              <w:bidi w:val="0"/>
              <w:spacing w:before="0" w:after="283"/>
              <w:jc w:val="left"/>
              <w:rPr/>
            </w:pPr>
            <w:r>
              <w:rPr/>
              <w:t>%</w:t>
            </w:r>
          </w:p>
        </w:tc>
      </w:tr>
      <w:tr>
        <w:trPr/>
        <w:tc>
          <w:tcPr>
            <w:tcW w:w="4891" w:type="dxa"/>
            <w:tcBorders/>
            <w:vAlign w:val="center"/>
          </w:tcPr>
          <w:p>
            <w:pPr>
              <w:pStyle w:val="TableContents"/>
              <w:bidi w:val="0"/>
              <w:spacing w:before="0" w:after="283"/>
              <w:jc w:val="left"/>
              <w:rPr/>
            </w:pPr>
            <w:r>
              <w:rPr/>
              <w:t>Other income</w:t>
            </w:r>
          </w:p>
        </w:tc>
        <w:tc>
          <w:tcPr>
            <w:tcW w:w="826" w:type="dxa"/>
            <w:tcBorders/>
            <w:vAlign w:val="center"/>
          </w:tcPr>
          <w:p>
            <w:pPr>
              <w:pStyle w:val="TableContents"/>
              <w:bidi w:val="0"/>
              <w:spacing w:before="0" w:after="283"/>
              <w:jc w:val="right"/>
              <w:rPr/>
            </w:pPr>
            <w:r>
              <w:rPr/>
              <w:t>(11.2</w:t>
            </w:r>
          </w:p>
        </w:tc>
        <w:tc>
          <w:tcPr>
            <w:tcW w:w="181"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283"/>
              <w:jc w:val="right"/>
              <w:rPr/>
            </w:pPr>
            <w:r>
              <w:rPr/>
              <w:t>(0.6</w:t>
            </w:r>
          </w:p>
        </w:tc>
        <w:tc>
          <w:tcPr>
            <w:tcW w:w="37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(12.8</w:t>
            </w:r>
          </w:p>
        </w:tc>
        <w:tc>
          <w:tcPr>
            <w:tcW w:w="181"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283"/>
              <w:jc w:val="right"/>
              <w:rPr/>
            </w:pPr>
            <w:r>
              <w:rPr/>
              <w:t>(0.7</w:t>
            </w:r>
          </w:p>
        </w:tc>
        <w:tc>
          <w:tcPr>
            <w:tcW w:w="421" w:type="dxa"/>
            <w:tcBorders/>
            <w:vAlign w:val="center"/>
          </w:tcPr>
          <w:p>
            <w:pPr>
              <w:pStyle w:val="TableContents"/>
              <w:bidi w:val="0"/>
              <w:spacing w:before="0" w:after="283"/>
              <w:jc w:val="left"/>
              <w:rPr/>
            </w:pPr>
            <w:r>
              <w:rPr/>
              <w:t>%)</w:t>
            </w:r>
          </w:p>
        </w:tc>
      </w:tr>
      <w:tr>
        <w:trPr/>
        <w:tc>
          <w:tcPr>
            <w:tcW w:w="48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Income taxes</w:t>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49.8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2.8</w:t>
            </w:r>
          </w:p>
        </w:tc>
        <w:tc>
          <w:tcPr>
            <w:tcW w:w="37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43.7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2.7</w:t>
            </w:r>
          </w:p>
        </w:tc>
        <w:tc>
          <w:tcPr>
            <w:tcW w:w="42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89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rStyle w:val="StrongEmphasis"/>
              </w:rPr>
              <w:t>Net income</w:t>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150.3</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8.4</w:t>
            </w:r>
          </w:p>
        </w:tc>
        <w:tc>
          <w:tcPr>
            <w:tcW w:w="37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rStyle w:val="StrongEmphasis"/>
              </w:rPr>
              <w:t>%</w:t>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135.4</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8.5</w:t>
            </w:r>
          </w:p>
        </w:tc>
        <w:tc>
          <w:tcPr>
            <w:tcW w:w="42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r>
      <w:tr>
        <w:trPr/>
        <w:tc>
          <w:tcPr>
            <w:tcW w:w="48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Basic and diluted earnings per share (EPS) (note)</w:t>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1.32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8" w:space="0" w:color="000000"/>
            </w:tcBorders>
            <w:tcMar>
              <w:top w:w="0" w:type="dxa"/>
              <w:left w:w="0" w:type="dxa"/>
              <w:right w:w="0" w:type="dxa"/>
            </w:tcMar>
            <w:vAlign w:val="center"/>
          </w:tcPr>
          <w:p>
            <w:pPr>
              <w:pStyle w:val="TableContents"/>
              <w:bidi w:val="0"/>
              <w:spacing w:before="0" w:after="283"/>
              <w:jc w:val="right"/>
              <w:rPr/>
            </w:pPr>
            <w:r>
              <w:rPr/>
              <w:t>n/m</w:t>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67" w:type="dxa"/>
            <w:gridSpan w:val="2"/>
            <w:tcBorders>
              <w:bottom w:val="single" w:sz="8" w:space="0" w:color="000000"/>
            </w:tcBorders>
            <w:tcMar>
              <w:top w:w="0" w:type="dxa"/>
              <w:left w:w="0" w:type="dxa"/>
              <w:right w:w="0" w:type="dxa"/>
            </w:tcMar>
            <w:vAlign w:val="center"/>
          </w:tcPr>
          <w:p>
            <w:pPr>
              <w:pStyle w:val="TableContents"/>
              <w:bidi w:val="0"/>
              <w:spacing w:before="0" w:after="283"/>
              <w:jc w:val="right"/>
              <w:rPr/>
            </w:pPr>
            <w:r>
              <w:rPr/>
              <w:t>n/m</w:t>
            </w:r>
          </w:p>
        </w:tc>
      </w:tr>
      <w:tr>
        <w:trPr/>
        <w:tc>
          <w:tcPr>
            <w:tcW w:w="489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Adjusted EBITDA (note)</w:t>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332.9</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18.7</w:t>
            </w:r>
          </w:p>
        </w:tc>
        <w:tc>
          <w:tcPr>
            <w:tcW w:w="37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rStyle w:val="StrongEmphasis"/>
              </w:rPr>
              <w:t>%</w:t>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284.4</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17.8</w:t>
            </w:r>
          </w:p>
        </w:tc>
        <w:tc>
          <w:tcPr>
            <w:tcW w:w="42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r>
      <w:tr>
        <w:trPr/>
        <w:tc>
          <w:tcPr>
            <w:tcW w:w="4891" w:type="dxa"/>
            <w:tcBorders/>
            <w:vAlign w:val="center"/>
          </w:tcPr>
          <w:p>
            <w:pPr>
              <w:pStyle w:val="TableContents"/>
              <w:bidi w:val="0"/>
              <w:spacing w:before="0" w:after="283"/>
              <w:jc w:val="left"/>
              <w:rPr/>
            </w:pPr>
            <w:r>
              <w:rPr/>
              <w:t>Adjusted net income (note)</w:t>
            </w:r>
          </w:p>
        </w:tc>
        <w:tc>
          <w:tcPr>
            <w:tcW w:w="826" w:type="dxa"/>
            <w:tcBorders/>
            <w:vAlign w:val="center"/>
          </w:tcPr>
          <w:p>
            <w:pPr>
              <w:pStyle w:val="TableContents"/>
              <w:bidi w:val="0"/>
              <w:spacing w:before="0" w:after="283"/>
              <w:jc w:val="right"/>
              <w:rPr/>
            </w:pPr>
            <w:r>
              <w:rPr>
                <w:rStyle w:val="StrongEmphasis"/>
              </w:rPr>
              <w:t>182.5</w:t>
            </w:r>
          </w:p>
        </w:tc>
        <w:tc>
          <w:tcPr>
            <w:tcW w:w="18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rStyle w:val="StrongEmphasis"/>
              </w:rPr>
              <w:t>10.2</w:t>
            </w:r>
          </w:p>
        </w:tc>
        <w:tc>
          <w:tcPr>
            <w:tcW w:w="376" w:type="dxa"/>
            <w:tcBorders/>
            <w:vAlign w:val="center"/>
          </w:tcPr>
          <w:p>
            <w:pPr>
              <w:pStyle w:val="TableContents"/>
              <w:bidi w:val="0"/>
              <w:spacing w:before="0" w:after="283"/>
              <w:jc w:val="left"/>
              <w:rPr/>
            </w:pPr>
            <w:r>
              <w:rPr>
                <w:rStyle w:val="StrongEmphasis"/>
              </w:rPr>
              <w:t>%</w:t>
            </w:r>
          </w:p>
        </w:tc>
        <w:tc>
          <w:tcPr>
            <w:tcW w:w="826" w:type="dxa"/>
            <w:tcBorders/>
            <w:vAlign w:val="center"/>
          </w:tcPr>
          <w:p>
            <w:pPr>
              <w:pStyle w:val="TableContents"/>
              <w:bidi w:val="0"/>
              <w:spacing w:before="0" w:after="283"/>
              <w:jc w:val="right"/>
              <w:rPr/>
            </w:pPr>
            <w:r>
              <w:rPr/>
              <w:t>154.7</w:t>
            </w:r>
          </w:p>
        </w:tc>
        <w:tc>
          <w:tcPr>
            <w:tcW w:w="18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9.7</w:t>
            </w:r>
          </w:p>
        </w:tc>
        <w:tc>
          <w:tcPr>
            <w:tcW w:w="421" w:type="dxa"/>
            <w:tcBorders/>
            <w:vAlign w:val="center"/>
          </w:tcPr>
          <w:p>
            <w:pPr>
              <w:pStyle w:val="TableContents"/>
              <w:bidi w:val="0"/>
              <w:spacing w:before="0" w:after="283"/>
              <w:jc w:val="left"/>
              <w:rPr/>
            </w:pPr>
            <w:r>
              <w:rPr/>
              <w:t>%</w:t>
            </w:r>
          </w:p>
        </w:tc>
      </w:tr>
      <w:tr>
        <w:trPr/>
        <w:tc>
          <w:tcPr>
            <w:tcW w:w="4891" w:type="dxa"/>
            <w:tcBorders/>
            <w:vAlign w:val="center"/>
          </w:tcPr>
          <w:p>
            <w:pPr>
              <w:pStyle w:val="TableContents"/>
              <w:bidi w:val="0"/>
              <w:spacing w:before="0" w:after="283"/>
              <w:jc w:val="left"/>
              <w:rPr/>
            </w:pPr>
            <w:r>
              <w:rPr/>
              <w:t>Adjusted EPS (note)</w:t>
            </w:r>
          </w:p>
        </w:tc>
        <w:tc>
          <w:tcPr>
            <w:tcW w:w="826" w:type="dxa"/>
            <w:tcBorders/>
            <w:vAlign w:val="center"/>
          </w:tcPr>
          <w:p>
            <w:pPr>
              <w:pStyle w:val="TableContents"/>
              <w:bidi w:val="0"/>
              <w:spacing w:before="0" w:after="283"/>
              <w:jc w:val="right"/>
              <w:rPr/>
            </w:pPr>
            <w:r>
              <w:rPr>
                <w:rStyle w:val="StrongEmphasis"/>
              </w:rPr>
              <w:t>1.61</w:t>
            </w:r>
          </w:p>
        </w:tc>
        <w:tc>
          <w:tcPr>
            <w:tcW w:w="181" w:type="dxa"/>
            <w:tcBorders/>
            <w:vAlign w:val="center"/>
          </w:tcPr>
          <w:p>
            <w:pPr>
              <w:pStyle w:val="TableContents"/>
              <w:bidi w:val="0"/>
              <w:spacing w:before="0" w:after="283"/>
              <w:jc w:val="left"/>
              <w:rPr/>
            </w:pPr>
            <w:r>
              <w:rPr/>
              <w:t> </w:t>
            </w:r>
          </w:p>
        </w:tc>
        <w:tc>
          <w:tcPr>
            <w:tcW w:w="1022" w:type="dxa"/>
            <w:gridSpan w:val="2"/>
            <w:tcBorders/>
            <w:vAlign w:val="center"/>
          </w:tcPr>
          <w:p>
            <w:pPr>
              <w:pStyle w:val="TableContents"/>
              <w:bidi w:val="0"/>
              <w:spacing w:before="0" w:after="283"/>
              <w:jc w:val="right"/>
              <w:rPr/>
            </w:pPr>
            <w:r>
              <w:rPr/>
              <w:t>n/m</w:t>
            </w:r>
          </w:p>
        </w:tc>
        <w:tc>
          <w:tcPr>
            <w:tcW w:w="826" w:type="dxa"/>
            <w:tcBorders/>
            <w:vAlign w:val="center"/>
          </w:tcPr>
          <w:p>
            <w:pPr>
              <w:pStyle w:val="TableContents"/>
              <w:bidi w:val="0"/>
              <w:spacing w:before="0" w:after="283"/>
              <w:jc w:val="right"/>
              <w:rPr/>
            </w:pPr>
            <w:r>
              <w:rPr/>
              <w:t>1.36</w:t>
            </w:r>
          </w:p>
        </w:tc>
        <w:tc>
          <w:tcPr>
            <w:tcW w:w="181"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n/m</w:t>
            </w:r>
          </w:p>
        </w:tc>
      </w:tr>
      <w:tr>
        <w:trPr/>
        <w:tc>
          <w:tcPr>
            <w:tcW w:w="48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Dividends declared per common share</w:t>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0.245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8" w:space="0" w:color="000000"/>
            </w:tcBorders>
            <w:tcMar>
              <w:top w:w="0" w:type="dxa"/>
              <w:left w:w="0" w:type="dxa"/>
              <w:right w:w="0" w:type="dxa"/>
            </w:tcMar>
            <w:vAlign w:val="center"/>
          </w:tcPr>
          <w:p>
            <w:pPr>
              <w:pStyle w:val="TableContents"/>
              <w:bidi w:val="0"/>
              <w:spacing w:before="0" w:after="283"/>
              <w:jc w:val="right"/>
              <w:rPr/>
            </w:pPr>
            <w:r>
              <w:rPr/>
              <w:t>n/m</w:t>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0.225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67" w:type="dxa"/>
            <w:gridSpan w:val="2"/>
            <w:tcBorders>
              <w:bottom w:val="single" w:sz="8" w:space="0" w:color="000000"/>
            </w:tcBorders>
            <w:tcMar>
              <w:top w:w="0" w:type="dxa"/>
              <w:left w:w="0" w:type="dxa"/>
              <w:right w:w="0" w:type="dxa"/>
            </w:tcMar>
            <w:vAlign w:val="center"/>
          </w:tcPr>
          <w:p>
            <w:pPr>
              <w:pStyle w:val="TableContents"/>
              <w:bidi w:val="0"/>
              <w:spacing w:before="0" w:after="283"/>
              <w:jc w:val="right"/>
              <w:rPr/>
            </w:pPr>
            <w:r>
              <w:rPr/>
              <w:t>n/m</w:t>
            </w:r>
          </w:p>
        </w:tc>
      </w:tr>
    </w:tbl>
    <w:p>
      <w:pPr>
        <w:pStyle w:val="TextBody"/>
        <w:bidi w:val="0"/>
        <w:spacing w:before="0" w:after="283"/>
        <w:jc w:val="left"/>
        <w:rPr/>
      </w:pPr>
      <w:r>
        <w:rPr/>
        <w:t>note: Adjusted EBITDA, adjusted net income, and adjusted EPS are non-IFRS measures (discussed in the Definitions section of the Q2 2026 MD&amp;A).</w:t>
      </w:r>
    </w:p>
    <w:p>
      <w:pPr>
        <w:pStyle w:val="TextBody"/>
        <w:bidi w:val="0"/>
        <w:spacing w:before="0" w:after="283"/>
        <w:jc w:val="left"/>
        <w:rPr/>
      </w:pPr>
      <w:r>
        <w:rPr/>
        <w:t>n/m = not meaningful</w:t>
      </w:r>
    </w:p>
    <w:p>
      <w:pPr>
        <w:pStyle w:val="TextBody"/>
        <w:bidi w:val="0"/>
        <w:spacing w:before="0" w:after="283"/>
        <w:jc w:val="left"/>
        <w:rPr/>
      </w:pPr>
      <w:r>
        <w:rPr>
          <w:rStyle w:val="StrongEmphasis"/>
        </w:rPr>
        <w:br/>
        <w:t>Net Revenue by Reportable Segment</w:t>
      </w:r>
    </w:p>
    <w:tbl>
      <w:tblPr>
        <w:tblW w:w="10205" w:type="dxa"/>
        <w:jc w:val="left"/>
        <w:tblInd w:w="0" w:type="dxa"/>
        <w:tblLayout w:type="fixed"/>
        <w:tblCellMar>
          <w:top w:w="0" w:type="dxa"/>
          <w:left w:w="0" w:type="dxa"/>
          <w:bottom w:w="28" w:type="dxa"/>
          <w:right w:w="0" w:type="dxa"/>
        </w:tblCellMar>
      </w:tblPr>
      <w:tblGrid>
        <w:gridCol w:w="1949"/>
        <w:gridCol w:w="844"/>
        <w:gridCol w:w="844"/>
        <w:gridCol w:w="808"/>
        <w:gridCol w:w="183"/>
        <w:gridCol w:w="1298"/>
        <w:gridCol w:w="294"/>
        <w:gridCol w:w="1103"/>
        <w:gridCol w:w="380"/>
        <w:gridCol w:w="1020"/>
        <w:gridCol w:w="284"/>
        <w:gridCol w:w="780"/>
        <w:gridCol w:w="418"/>
      </w:tblGrid>
      <w:tr>
        <w:trPr/>
        <w:tc>
          <w:tcPr>
            <w:tcW w:w="1949" w:type="dxa"/>
            <w:tcBorders>
              <w:bottom w:val="single" w:sz="8" w:space="0" w:color="000000"/>
            </w:tcBorders>
            <w:vAlign w:val="center"/>
          </w:tcPr>
          <w:p>
            <w:pPr>
              <w:pStyle w:val="TableContents"/>
              <w:bidi w:val="0"/>
              <w:spacing w:before="0" w:after="283"/>
              <w:jc w:val="left"/>
              <w:rPr/>
            </w:pPr>
            <w:r>
              <w:rPr>
                <w:rStyle w:val="StrongEmphasis"/>
              </w:rPr>
              <w:t>(In millions of Canadian dollars, except percentages)</w:t>
            </w:r>
          </w:p>
        </w:tc>
        <w:tc>
          <w:tcPr>
            <w:tcW w:w="844" w:type="dxa"/>
            <w:tcBorders>
              <w:bottom w:val="single" w:sz="8" w:space="0" w:color="000000"/>
            </w:tcBorders>
            <w:vAlign w:val="center"/>
          </w:tcPr>
          <w:p>
            <w:pPr>
              <w:pStyle w:val="TableContents"/>
              <w:bidi w:val="0"/>
              <w:spacing w:before="0" w:after="283"/>
              <w:jc w:val="right"/>
              <w:rPr/>
            </w:pPr>
            <w:r>
              <w:rPr>
                <w:rStyle w:val="StrongEmphasis"/>
              </w:rPr>
              <w:t>Q2 2026</w:t>
            </w:r>
          </w:p>
        </w:tc>
        <w:tc>
          <w:tcPr>
            <w:tcW w:w="844" w:type="dxa"/>
            <w:tcBorders>
              <w:bottom w:val="single" w:sz="8" w:space="0" w:color="000000"/>
            </w:tcBorders>
            <w:vAlign w:val="center"/>
          </w:tcPr>
          <w:p>
            <w:pPr>
              <w:pStyle w:val="TableContents"/>
              <w:bidi w:val="0"/>
              <w:spacing w:before="0" w:after="283"/>
              <w:jc w:val="right"/>
              <w:rPr/>
            </w:pPr>
            <w:r>
              <w:rPr>
                <w:rStyle w:val="StrongEmphasis"/>
              </w:rPr>
              <w:t>Q2 2025</w:t>
            </w:r>
          </w:p>
        </w:tc>
        <w:tc>
          <w:tcPr>
            <w:tcW w:w="991" w:type="dxa"/>
            <w:gridSpan w:val="2"/>
            <w:tcBorders>
              <w:bottom w:val="single" w:sz="8" w:space="0" w:color="000000"/>
            </w:tcBorders>
            <w:vAlign w:val="center"/>
          </w:tcPr>
          <w:p>
            <w:pPr>
              <w:pStyle w:val="TableContents"/>
              <w:bidi w:val="0"/>
              <w:spacing w:before="0" w:after="283"/>
              <w:jc w:val="right"/>
              <w:rPr/>
            </w:pPr>
            <w:r>
              <w:rPr>
                <w:rStyle w:val="StrongEmphasis"/>
              </w:rPr>
              <w:t>Total Change</w:t>
            </w:r>
          </w:p>
        </w:tc>
        <w:tc>
          <w:tcPr>
            <w:tcW w:w="1592" w:type="dxa"/>
            <w:gridSpan w:val="2"/>
            <w:tcBorders>
              <w:bottom w:val="single" w:sz="8" w:space="0" w:color="000000"/>
            </w:tcBorders>
            <w:vAlign w:val="center"/>
          </w:tcPr>
          <w:p>
            <w:pPr>
              <w:pStyle w:val="TableContents"/>
              <w:bidi w:val="0"/>
              <w:spacing w:before="0" w:after="283"/>
              <w:jc w:val="right"/>
              <w:rPr/>
            </w:pPr>
            <w:r>
              <w:rPr>
                <w:rStyle w:val="StrongEmphasis"/>
              </w:rPr>
              <w:t>Change Due to Acquisitions</w:t>
            </w:r>
          </w:p>
        </w:tc>
        <w:tc>
          <w:tcPr>
            <w:tcW w:w="1483" w:type="dxa"/>
            <w:gridSpan w:val="2"/>
            <w:tcBorders>
              <w:bottom w:val="single" w:sz="8" w:space="0" w:color="000000"/>
            </w:tcBorders>
            <w:vAlign w:val="center"/>
          </w:tcPr>
          <w:p>
            <w:pPr>
              <w:pStyle w:val="TableContents"/>
              <w:bidi w:val="0"/>
              <w:spacing w:before="0" w:after="283"/>
              <w:jc w:val="right"/>
              <w:rPr/>
            </w:pPr>
            <w:r>
              <w:rPr>
                <w:rStyle w:val="StrongEmphasis"/>
              </w:rPr>
              <w:t>Change Due to Foreign Exchange</w:t>
            </w:r>
          </w:p>
        </w:tc>
        <w:tc>
          <w:tcPr>
            <w:tcW w:w="1304" w:type="dxa"/>
            <w:gridSpan w:val="2"/>
            <w:tcBorders>
              <w:bottom w:val="single" w:sz="8" w:space="0" w:color="000000"/>
            </w:tcBorders>
            <w:vAlign w:val="center"/>
          </w:tcPr>
          <w:p>
            <w:pPr>
              <w:pStyle w:val="TableContents"/>
              <w:bidi w:val="0"/>
              <w:spacing w:before="0" w:after="283"/>
              <w:jc w:val="right"/>
              <w:rPr/>
            </w:pPr>
            <w:r>
              <w:rPr>
                <w:rStyle w:val="StrongEmphasis"/>
              </w:rPr>
              <w:t>Change Due to Organic Growth</w:t>
            </w:r>
          </w:p>
        </w:tc>
        <w:tc>
          <w:tcPr>
            <w:tcW w:w="1198" w:type="dxa"/>
            <w:gridSpan w:val="2"/>
            <w:tcBorders>
              <w:bottom w:val="single" w:sz="8" w:space="0" w:color="000000"/>
            </w:tcBorders>
            <w:vAlign w:val="center"/>
          </w:tcPr>
          <w:p>
            <w:pPr>
              <w:pStyle w:val="TableContents"/>
              <w:bidi w:val="0"/>
              <w:spacing w:before="0" w:after="283"/>
              <w:jc w:val="right"/>
              <w:rPr/>
            </w:pPr>
            <w:r>
              <w:rPr>
                <w:rStyle w:val="StrongEmphasis"/>
              </w:rPr>
              <w:t>% of Organic Growth</w:t>
            </w:r>
          </w:p>
        </w:tc>
      </w:tr>
      <w:tr>
        <w:trPr/>
        <w:tc>
          <w:tcPr>
            <w:tcW w:w="1949" w:type="dxa"/>
            <w:tcBorders>
              <w:top w:val="single" w:sz="8" w:space="0" w:color="000000"/>
            </w:tcBorders>
            <w:tcMar>
              <w:top w:w="28" w:type="dxa"/>
              <w:bottom w:w="0" w:type="dxa"/>
            </w:tcMar>
            <w:vAlign w:val="center"/>
          </w:tcPr>
          <w:p>
            <w:pPr>
              <w:pStyle w:val="TableContents"/>
              <w:bidi w:val="0"/>
              <w:spacing w:before="0" w:after="283"/>
              <w:jc w:val="left"/>
              <w:rPr/>
            </w:pPr>
            <w:r>
              <w:rPr/>
              <w:t>Canada</w:t>
            </w:r>
          </w:p>
        </w:tc>
        <w:tc>
          <w:tcPr>
            <w:tcW w:w="844" w:type="dxa"/>
            <w:tcBorders>
              <w:top w:val="single" w:sz="8" w:space="0" w:color="000000"/>
            </w:tcBorders>
            <w:tcMar>
              <w:top w:w="28" w:type="dxa"/>
              <w:bottom w:w="0" w:type="dxa"/>
            </w:tcMar>
            <w:vAlign w:val="center"/>
          </w:tcPr>
          <w:p>
            <w:pPr>
              <w:pStyle w:val="TableContents"/>
              <w:bidi w:val="0"/>
              <w:spacing w:before="0" w:after="283"/>
              <w:jc w:val="right"/>
              <w:rPr/>
            </w:pPr>
            <w:r>
              <w:rPr/>
              <w:t>403.2</w:t>
            </w:r>
          </w:p>
        </w:tc>
        <w:tc>
          <w:tcPr>
            <w:tcW w:w="844" w:type="dxa"/>
            <w:tcBorders>
              <w:top w:val="single" w:sz="8" w:space="0" w:color="000000"/>
            </w:tcBorders>
            <w:tcMar>
              <w:top w:w="28" w:type="dxa"/>
              <w:bottom w:w="0" w:type="dxa"/>
            </w:tcMar>
            <w:vAlign w:val="center"/>
          </w:tcPr>
          <w:p>
            <w:pPr>
              <w:pStyle w:val="TableContents"/>
              <w:bidi w:val="0"/>
              <w:spacing w:before="0" w:after="283"/>
              <w:jc w:val="right"/>
              <w:rPr/>
            </w:pPr>
            <w:r>
              <w:rPr/>
              <w:t>393.7</w:t>
            </w:r>
          </w:p>
        </w:tc>
        <w:tc>
          <w:tcPr>
            <w:tcW w:w="808" w:type="dxa"/>
            <w:tcBorders>
              <w:top w:val="single" w:sz="8" w:space="0" w:color="000000"/>
            </w:tcBorders>
            <w:tcMar>
              <w:top w:w="28" w:type="dxa"/>
              <w:bottom w:w="0" w:type="dxa"/>
            </w:tcMar>
            <w:vAlign w:val="center"/>
          </w:tcPr>
          <w:p>
            <w:pPr>
              <w:pStyle w:val="TableContents"/>
              <w:bidi w:val="0"/>
              <w:spacing w:before="0" w:after="283"/>
              <w:jc w:val="right"/>
              <w:rPr/>
            </w:pPr>
            <w:r>
              <w:rPr/>
              <w:t>9.5</w:t>
            </w:r>
          </w:p>
        </w:tc>
        <w:tc>
          <w:tcPr>
            <w:tcW w:w="183" w:type="dxa"/>
            <w:tcBorders>
              <w:top w:val="single" w:sz="8" w:space="0" w:color="000000"/>
            </w:tcBorders>
            <w:tcMar>
              <w:top w:w="28" w:type="dxa"/>
              <w:bottom w:w="0" w:type="dxa"/>
            </w:tcMar>
            <w:vAlign w:val="center"/>
          </w:tcPr>
          <w:p>
            <w:pPr>
              <w:pStyle w:val="TableContents"/>
              <w:bidi w:val="0"/>
              <w:spacing w:before="0" w:after="283"/>
              <w:jc w:val="left"/>
              <w:rPr/>
            </w:pPr>
            <w:r>
              <w:rPr/>
              <w:t> </w:t>
            </w:r>
          </w:p>
        </w:tc>
        <w:tc>
          <w:tcPr>
            <w:tcW w:w="1298" w:type="dxa"/>
            <w:tcBorders>
              <w:top w:val="single" w:sz="8" w:space="0" w:color="000000"/>
            </w:tcBorders>
            <w:tcMar>
              <w:top w:w="28" w:type="dxa"/>
              <w:bottom w:w="0" w:type="dxa"/>
            </w:tcMar>
            <w:vAlign w:val="center"/>
          </w:tcPr>
          <w:p>
            <w:pPr>
              <w:pStyle w:val="TableContents"/>
              <w:bidi w:val="0"/>
              <w:spacing w:before="0" w:after="283"/>
              <w:jc w:val="right"/>
              <w:rPr/>
            </w:pPr>
            <w:r>
              <w:rPr/>
              <w:t>—</w:t>
            </w:r>
          </w:p>
        </w:tc>
        <w:tc>
          <w:tcPr>
            <w:tcW w:w="294" w:type="dxa"/>
            <w:tcBorders>
              <w:top w:val="single" w:sz="8" w:space="0" w:color="000000"/>
            </w:tcBorders>
            <w:tcMar>
              <w:top w:w="28" w:type="dxa"/>
              <w:bottom w:w="0" w:type="dxa"/>
            </w:tcMar>
            <w:vAlign w:val="center"/>
          </w:tcPr>
          <w:p>
            <w:pPr>
              <w:pStyle w:val="TableContents"/>
              <w:bidi w:val="0"/>
              <w:spacing w:before="0" w:after="283"/>
              <w:jc w:val="left"/>
              <w:rPr/>
            </w:pPr>
            <w:r>
              <w:rPr/>
              <w:t> </w:t>
            </w:r>
          </w:p>
        </w:tc>
        <w:tc>
          <w:tcPr>
            <w:tcW w:w="1483" w:type="dxa"/>
            <w:gridSpan w:val="2"/>
            <w:tcBorders>
              <w:top w:val="single" w:sz="8" w:space="0" w:color="000000"/>
            </w:tcBorders>
            <w:tcMar>
              <w:top w:w="28" w:type="dxa"/>
              <w:bottom w:w="0" w:type="dxa"/>
            </w:tcMar>
            <w:vAlign w:val="center"/>
          </w:tcPr>
          <w:p>
            <w:pPr>
              <w:pStyle w:val="TableContents"/>
              <w:bidi w:val="0"/>
              <w:spacing w:before="0" w:after="283"/>
              <w:jc w:val="right"/>
              <w:rPr/>
            </w:pPr>
            <w:r>
              <w:rPr/>
              <w:t>n/a</w:t>
            </w:r>
          </w:p>
        </w:tc>
        <w:tc>
          <w:tcPr>
            <w:tcW w:w="1020" w:type="dxa"/>
            <w:tcBorders>
              <w:top w:val="single" w:sz="8" w:space="0" w:color="000000"/>
            </w:tcBorders>
            <w:tcMar>
              <w:top w:w="28" w:type="dxa"/>
              <w:bottom w:w="0" w:type="dxa"/>
            </w:tcMar>
            <w:vAlign w:val="center"/>
          </w:tcPr>
          <w:p>
            <w:pPr>
              <w:pStyle w:val="TableContents"/>
              <w:bidi w:val="0"/>
              <w:spacing w:before="0" w:after="283"/>
              <w:jc w:val="right"/>
              <w:rPr/>
            </w:pPr>
            <w:r>
              <w:rPr/>
              <w:t>9.5</w:t>
            </w:r>
          </w:p>
        </w:tc>
        <w:tc>
          <w:tcPr>
            <w:tcW w:w="284" w:type="dxa"/>
            <w:tcBorders>
              <w:top w:val="single" w:sz="8" w:space="0" w:color="000000"/>
            </w:tcBorders>
            <w:tcMar>
              <w:top w:w="28" w:type="dxa"/>
              <w:bottom w:w="0" w:type="dxa"/>
            </w:tcMar>
            <w:vAlign w:val="center"/>
          </w:tcPr>
          <w:p>
            <w:pPr>
              <w:pStyle w:val="TableContents"/>
              <w:bidi w:val="0"/>
              <w:spacing w:before="0" w:after="283"/>
              <w:jc w:val="left"/>
              <w:rPr/>
            </w:pPr>
            <w:r>
              <w:rPr/>
              <w:t> </w:t>
            </w:r>
          </w:p>
        </w:tc>
        <w:tc>
          <w:tcPr>
            <w:tcW w:w="780" w:type="dxa"/>
            <w:tcBorders>
              <w:top w:val="single" w:sz="8" w:space="0" w:color="000000"/>
            </w:tcBorders>
            <w:tcMar>
              <w:top w:w="28" w:type="dxa"/>
              <w:bottom w:w="0" w:type="dxa"/>
            </w:tcMar>
            <w:vAlign w:val="center"/>
          </w:tcPr>
          <w:p>
            <w:pPr>
              <w:pStyle w:val="TableContents"/>
              <w:bidi w:val="0"/>
              <w:spacing w:before="0" w:after="283"/>
              <w:jc w:val="right"/>
              <w:rPr/>
            </w:pPr>
            <w:r>
              <w:rPr/>
              <w:t>2.4%</w:t>
            </w:r>
          </w:p>
        </w:tc>
        <w:tc>
          <w:tcPr>
            <w:tcW w:w="418" w:type="dxa"/>
            <w:tcBorders>
              <w:top w:val="single" w:sz="8" w:space="0" w:color="000000"/>
            </w:tcBorders>
            <w:tcMar>
              <w:top w:w="28" w:type="dxa"/>
              <w:bottom w:w="0" w:type="dxa"/>
            </w:tcMar>
            <w:vAlign w:val="center"/>
          </w:tcPr>
          <w:p>
            <w:pPr>
              <w:pStyle w:val="TableContents"/>
              <w:bidi w:val="0"/>
              <w:spacing w:before="0" w:after="283"/>
              <w:jc w:val="left"/>
              <w:rPr/>
            </w:pPr>
            <w:r>
              <w:rPr/>
              <w:t> </w:t>
            </w:r>
          </w:p>
        </w:tc>
      </w:tr>
      <w:tr>
        <w:trPr/>
        <w:tc>
          <w:tcPr>
            <w:tcW w:w="1949" w:type="dxa"/>
            <w:tcBorders/>
            <w:tcMar>
              <w:top w:w="28" w:type="dxa"/>
              <w:left w:w="28" w:type="dxa"/>
              <w:right w:w="28" w:type="dxa"/>
            </w:tcMar>
            <w:vAlign w:val="center"/>
          </w:tcPr>
          <w:p>
            <w:pPr>
              <w:pStyle w:val="TableContents"/>
              <w:bidi w:val="0"/>
              <w:spacing w:before="0" w:after="283"/>
              <w:jc w:val="left"/>
              <w:rPr/>
            </w:pPr>
            <w:r>
              <w:rPr/>
              <w:t>United States</w:t>
            </w:r>
          </w:p>
        </w:tc>
        <w:tc>
          <w:tcPr>
            <w:tcW w:w="844" w:type="dxa"/>
            <w:tcBorders/>
            <w:tcMar>
              <w:top w:w="28" w:type="dxa"/>
              <w:left w:w="28" w:type="dxa"/>
              <w:right w:w="28" w:type="dxa"/>
            </w:tcMar>
            <w:vAlign w:val="center"/>
          </w:tcPr>
          <w:p>
            <w:pPr>
              <w:pStyle w:val="TableContents"/>
              <w:bidi w:val="0"/>
              <w:spacing w:before="0" w:after="283"/>
              <w:jc w:val="right"/>
              <w:rPr/>
            </w:pPr>
            <w:r>
              <w:rPr/>
              <w:t>924.5</w:t>
            </w:r>
          </w:p>
        </w:tc>
        <w:tc>
          <w:tcPr>
            <w:tcW w:w="844" w:type="dxa"/>
            <w:tcBorders/>
            <w:tcMar>
              <w:top w:w="28" w:type="dxa"/>
              <w:left w:w="28" w:type="dxa"/>
              <w:right w:w="28" w:type="dxa"/>
            </w:tcMar>
            <w:vAlign w:val="center"/>
          </w:tcPr>
          <w:p>
            <w:pPr>
              <w:pStyle w:val="TableContents"/>
              <w:bidi w:val="0"/>
              <w:spacing w:before="0" w:after="283"/>
              <w:jc w:val="right"/>
              <w:rPr/>
            </w:pPr>
            <w:r>
              <w:rPr/>
              <w:t>819.6</w:t>
            </w:r>
          </w:p>
        </w:tc>
        <w:tc>
          <w:tcPr>
            <w:tcW w:w="808" w:type="dxa"/>
            <w:tcBorders/>
            <w:tcMar>
              <w:top w:w="28" w:type="dxa"/>
              <w:left w:w="28" w:type="dxa"/>
              <w:right w:w="28" w:type="dxa"/>
            </w:tcMar>
            <w:vAlign w:val="center"/>
          </w:tcPr>
          <w:p>
            <w:pPr>
              <w:pStyle w:val="TableContents"/>
              <w:bidi w:val="0"/>
              <w:spacing w:before="0" w:after="283"/>
              <w:jc w:val="right"/>
              <w:rPr/>
            </w:pPr>
            <w:r>
              <w:rPr/>
              <w:t>104.9</w:t>
            </w:r>
          </w:p>
        </w:tc>
        <w:tc>
          <w:tcPr>
            <w:tcW w:w="183" w:type="dxa"/>
            <w:tcBorders/>
            <w:tcMar>
              <w:top w:w="28" w:type="dxa"/>
              <w:left w:w="28" w:type="dxa"/>
              <w:right w:w="28" w:type="dxa"/>
            </w:tcMar>
            <w:vAlign w:val="center"/>
          </w:tcPr>
          <w:p>
            <w:pPr>
              <w:pStyle w:val="TableContents"/>
              <w:bidi w:val="0"/>
              <w:spacing w:before="0" w:after="283"/>
              <w:jc w:val="left"/>
              <w:rPr/>
            </w:pPr>
            <w:r>
              <w:rPr/>
              <w:t> </w:t>
            </w:r>
          </w:p>
        </w:tc>
        <w:tc>
          <w:tcPr>
            <w:tcW w:w="1298" w:type="dxa"/>
            <w:tcBorders/>
            <w:tcMar>
              <w:top w:w="28" w:type="dxa"/>
              <w:left w:w="28" w:type="dxa"/>
              <w:right w:w="28" w:type="dxa"/>
            </w:tcMar>
            <w:vAlign w:val="center"/>
          </w:tcPr>
          <w:p>
            <w:pPr>
              <w:pStyle w:val="TableContents"/>
              <w:bidi w:val="0"/>
              <w:spacing w:before="0" w:after="283"/>
              <w:jc w:val="right"/>
              <w:rPr/>
            </w:pPr>
            <w:r>
              <w:rPr/>
              <w:t>105.1</w:t>
            </w:r>
          </w:p>
        </w:tc>
        <w:tc>
          <w:tcPr>
            <w:tcW w:w="294" w:type="dxa"/>
            <w:tcBorders/>
            <w:tcMar>
              <w:top w:w="28" w:type="dxa"/>
              <w:left w:w="28" w:type="dxa"/>
              <w:right w:w="28" w:type="dxa"/>
            </w:tcMar>
            <w:vAlign w:val="center"/>
          </w:tcPr>
          <w:p>
            <w:pPr>
              <w:pStyle w:val="TableContents"/>
              <w:bidi w:val="0"/>
              <w:spacing w:before="0" w:after="283"/>
              <w:jc w:val="left"/>
              <w:rPr/>
            </w:pPr>
            <w:r>
              <w:rPr/>
              <w:t> </w:t>
            </w:r>
          </w:p>
        </w:tc>
        <w:tc>
          <w:tcPr>
            <w:tcW w:w="1103" w:type="dxa"/>
            <w:tcBorders/>
            <w:tcMar>
              <w:top w:w="28" w:type="dxa"/>
              <w:left w:w="28" w:type="dxa"/>
              <w:right w:w="28" w:type="dxa"/>
            </w:tcMar>
            <w:vAlign w:val="center"/>
          </w:tcPr>
          <w:p>
            <w:pPr>
              <w:pStyle w:val="TableContents"/>
              <w:bidi w:val="0"/>
              <w:spacing w:before="0" w:after="283"/>
              <w:jc w:val="right"/>
              <w:rPr/>
            </w:pPr>
            <w:r>
              <w:rPr/>
              <w:t>(0.2</w:t>
            </w:r>
          </w:p>
        </w:tc>
        <w:tc>
          <w:tcPr>
            <w:tcW w:w="380" w:type="dxa"/>
            <w:tcBorders/>
            <w:tcMar>
              <w:top w:w="28" w:type="dxa"/>
              <w:left w:w="28" w:type="dxa"/>
              <w:right w:w="28" w:type="dxa"/>
            </w:tcMar>
            <w:vAlign w:val="center"/>
          </w:tcPr>
          <w:p>
            <w:pPr>
              <w:pStyle w:val="TableContents"/>
              <w:bidi w:val="0"/>
              <w:spacing w:before="0" w:after="283"/>
              <w:jc w:val="left"/>
              <w:rPr/>
            </w:pPr>
            <w:r>
              <w:rPr/>
              <w:t>)</w:t>
            </w:r>
          </w:p>
        </w:tc>
        <w:tc>
          <w:tcPr>
            <w:tcW w:w="1020" w:type="dxa"/>
            <w:tcBorders/>
            <w:tcMar>
              <w:top w:w="28" w:type="dxa"/>
              <w:left w:w="28" w:type="dxa"/>
              <w:right w:w="28" w:type="dxa"/>
            </w:tcMar>
            <w:vAlign w:val="center"/>
          </w:tcPr>
          <w:p>
            <w:pPr>
              <w:pStyle w:val="TableContents"/>
              <w:bidi w:val="0"/>
              <w:spacing w:before="0" w:after="283"/>
              <w:jc w:val="right"/>
              <w:rPr/>
            </w:pPr>
            <w:r>
              <w:rPr/>
              <w:t>—</w:t>
            </w:r>
          </w:p>
        </w:tc>
        <w:tc>
          <w:tcPr>
            <w:tcW w:w="284" w:type="dxa"/>
            <w:tcBorders/>
            <w:tcMar>
              <w:top w:w="28" w:type="dxa"/>
              <w:left w:w="28" w:type="dxa"/>
              <w:right w:w="28" w:type="dxa"/>
            </w:tcMar>
            <w:vAlign w:val="center"/>
          </w:tcPr>
          <w:p>
            <w:pPr>
              <w:pStyle w:val="TableContents"/>
              <w:bidi w:val="0"/>
              <w:spacing w:before="0" w:after="283"/>
              <w:jc w:val="left"/>
              <w:rPr/>
            </w:pPr>
            <w:r>
              <w:rPr/>
              <w:t> </w:t>
            </w:r>
          </w:p>
        </w:tc>
        <w:tc>
          <w:tcPr>
            <w:tcW w:w="780" w:type="dxa"/>
            <w:tcBorders/>
            <w:tcMar>
              <w:top w:w="28" w:type="dxa"/>
              <w:left w:w="28" w:type="dxa"/>
              <w:right w:w="28" w:type="dxa"/>
            </w:tcMar>
            <w:vAlign w:val="center"/>
          </w:tcPr>
          <w:p>
            <w:pPr>
              <w:pStyle w:val="TableContents"/>
              <w:bidi w:val="0"/>
              <w:spacing w:before="0" w:after="283"/>
              <w:jc w:val="right"/>
              <w:rPr/>
            </w:pPr>
            <w:r>
              <w:rPr/>
              <w:t>—</w:t>
            </w:r>
          </w:p>
        </w:tc>
        <w:tc>
          <w:tcPr>
            <w:tcW w:w="418" w:type="dxa"/>
            <w:tcBorders/>
            <w:tcMar>
              <w:top w:w="28" w:type="dxa"/>
              <w:left w:w="28" w:type="dxa"/>
              <w:right w:w="28" w:type="dxa"/>
            </w:tcMar>
            <w:vAlign w:val="center"/>
          </w:tcPr>
          <w:p>
            <w:pPr>
              <w:pStyle w:val="TableContents"/>
              <w:bidi w:val="0"/>
              <w:spacing w:before="0" w:after="283"/>
              <w:jc w:val="left"/>
              <w:rPr/>
            </w:pPr>
            <w:r>
              <w:rPr/>
              <w:t>%</w:t>
            </w:r>
          </w:p>
        </w:tc>
      </w:tr>
      <w:tr>
        <w:trPr/>
        <w:tc>
          <w:tcPr>
            <w:tcW w:w="1949" w:type="dxa"/>
            <w:tcBorders>
              <w:bottom w:val="single" w:sz="8" w:space="0" w:color="000000"/>
            </w:tcBorders>
            <w:vAlign w:val="center"/>
          </w:tcPr>
          <w:p>
            <w:pPr>
              <w:pStyle w:val="TableContents"/>
              <w:bidi w:val="0"/>
              <w:spacing w:before="0" w:after="283"/>
              <w:jc w:val="left"/>
              <w:rPr/>
            </w:pPr>
            <w:r>
              <w:rPr/>
              <w:t>Global</w:t>
            </w:r>
          </w:p>
        </w:tc>
        <w:tc>
          <w:tcPr>
            <w:tcW w:w="844" w:type="dxa"/>
            <w:tcBorders>
              <w:bottom w:val="single" w:sz="8" w:space="0" w:color="000000"/>
            </w:tcBorders>
            <w:vAlign w:val="center"/>
          </w:tcPr>
          <w:p>
            <w:pPr>
              <w:pStyle w:val="TableContents"/>
              <w:bidi w:val="0"/>
              <w:spacing w:before="0" w:after="283"/>
              <w:jc w:val="right"/>
              <w:rPr/>
            </w:pPr>
            <w:r>
              <w:rPr/>
              <w:t>452.9</w:t>
            </w:r>
          </w:p>
        </w:tc>
        <w:tc>
          <w:tcPr>
            <w:tcW w:w="844" w:type="dxa"/>
            <w:tcBorders>
              <w:bottom w:val="single" w:sz="8" w:space="0" w:color="000000"/>
            </w:tcBorders>
            <w:vAlign w:val="center"/>
          </w:tcPr>
          <w:p>
            <w:pPr>
              <w:pStyle w:val="TableContents"/>
              <w:bidi w:val="0"/>
              <w:spacing w:before="0" w:after="283"/>
              <w:jc w:val="right"/>
              <w:rPr/>
            </w:pPr>
            <w:r>
              <w:rPr/>
              <w:t>383.4</w:t>
            </w:r>
          </w:p>
        </w:tc>
        <w:tc>
          <w:tcPr>
            <w:tcW w:w="808" w:type="dxa"/>
            <w:tcBorders>
              <w:bottom w:val="single" w:sz="8" w:space="0" w:color="000000"/>
            </w:tcBorders>
            <w:vAlign w:val="center"/>
          </w:tcPr>
          <w:p>
            <w:pPr>
              <w:pStyle w:val="TableContents"/>
              <w:bidi w:val="0"/>
              <w:spacing w:before="0" w:after="283"/>
              <w:jc w:val="right"/>
              <w:rPr/>
            </w:pPr>
            <w:r>
              <w:rPr/>
              <w:t>69.5</w:t>
            </w:r>
          </w:p>
        </w:tc>
        <w:tc>
          <w:tcPr>
            <w:tcW w:w="183" w:type="dxa"/>
            <w:tcBorders>
              <w:bottom w:val="single" w:sz="8" w:space="0" w:color="000000"/>
            </w:tcBorders>
            <w:vAlign w:val="center"/>
          </w:tcPr>
          <w:p>
            <w:pPr>
              <w:pStyle w:val="TableContents"/>
              <w:bidi w:val="0"/>
              <w:spacing w:before="0" w:after="283"/>
              <w:jc w:val="left"/>
              <w:rPr/>
            </w:pPr>
            <w:r>
              <w:rPr/>
              <w:t> </w:t>
            </w:r>
          </w:p>
        </w:tc>
        <w:tc>
          <w:tcPr>
            <w:tcW w:w="1298" w:type="dxa"/>
            <w:tcBorders>
              <w:bottom w:val="single" w:sz="8" w:space="0" w:color="000000"/>
            </w:tcBorders>
            <w:vAlign w:val="center"/>
          </w:tcPr>
          <w:p>
            <w:pPr>
              <w:pStyle w:val="TableContents"/>
              <w:bidi w:val="0"/>
              <w:spacing w:before="0" w:after="283"/>
              <w:jc w:val="right"/>
              <w:rPr/>
            </w:pPr>
            <w:r>
              <w:rPr/>
              <w:t>8.8</w:t>
            </w:r>
          </w:p>
        </w:tc>
        <w:tc>
          <w:tcPr>
            <w:tcW w:w="294" w:type="dxa"/>
            <w:tcBorders>
              <w:bottom w:val="single" w:sz="8" w:space="0" w:color="000000"/>
            </w:tcBorders>
            <w:vAlign w:val="center"/>
          </w:tcPr>
          <w:p>
            <w:pPr>
              <w:pStyle w:val="TableContents"/>
              <w:bidi w:val="0"/>
              <w:spacing w:before="0" w:after="283"/>
              <w:jc w:val="left"/>
              <w:rPr/>
            </w:pPr>
            <w:r>
              <w:rPr/>
              <w:t> </w:t>
            </w:r>
          </w:p>
        </w:tc>
        <w:tc>
          <w:tcPr>
            <w:tcW w:w="1103" w:type="dxa"/>
            <w:tcBorders>
              <w:bottom w:val="single" w:sz="8" w:space="0" w:color="000000"/>
            </w:tcBorders>
            <w:vAlign w:val="center"/>
          </w:tcPr>
          <w:p>
            <w:pPr>
              <w:pStyle w:val="TableContents"/>
              <w:bidi w:val="0"/>
              <w:spacing w:before="0" w:after="283"/>
              <w:jc w:val="right"/>
              <w:rPr/>
            </w:pPr>
            <w:r>
              <w:rPr/>
              <w:t>11.4</w:t>
            </w:r>
          </w:p>
        </w:tc>
        <w:tc>
          <w:tcPr>
            <w:tcW w:w="380" w:type="dxa"/>
            <w:tcBorders>
              <w:bottom w:val="single" w:sz="8" w:space="0" w:color="000000"/>
            </w:tcBorders>
            <w:vAlign w:val="center"/>
          </w:tcPr>
          <w:p>
            <w:pPr>
              <w:pStyle w:val="TableContents"/>
              <w:bidi w:val="0"/>
              <w:spacing w:before="0" w:after="283"/>
              <w:jc w:val="left"/>
              <w:rPr/>
            </w:pPr>
            <w:r>
              <w:rPr/>
              <w:t> </w:t>
            </w:r>
          </w:p>
        </w:tc>
        <w:tc>
          <w:tcPr>
            <w:tcW w:w="1020" w:type="dxa"/>
            <w:tcBorders>
              <w:bottom w:val="single" w:sz="8" w:space="0" w:color="000000"/>
            </w:tcBorders>
            <w:vAlign w:val="center"/>
          </w:tcPr>
          <w:p>
            <w:pPr>
              <w:pStyle w:val="TableContents"/>
              <w:bidi w:val="0"/>
              <w:spacing w:before="0" w:after="283"/>
              <w:jc w:val="right"/>
              <w:rPr/>
            </w:pPr>
            <w:r>
              <w:rPr/>
              <w:t>49.3</w:t>
            </w:r>
          </w:p>
        </w:tc>
        <w:tc>
          <w:tcPr>
            <w:tcW w:w="284" w:type="dxa"/>
            <w:tcBorders>
              <w:bottom w:val="single" w:sz="8" w:space="0" w:color="000000"/>
            </w:tcBorders>
            <w:vAlign w:val="center"/>
          </w:tcPr>
          <w:p>
            <w:pPr>
              <w:pStyle w:val="TableContents"/>
              <w:bidi w:val="0"/>
              <w:spacing w:before="0" w:after="283"/>
              <w:jc w:val="left"/>
              <w:rPr/>
            </w:pPr>
            <w:r>
              <w:rPr/>
              <w:t> </w:t>
            </w:r>
          </w:p>
        </w:tc>
        <w:tc>
          <w:tcPr>
            <w:tcW w:w="780" w:type="dxa"/>
            <w:tcBorders>
              <w:bottom w:val="single" w:sz="8" w:space="0" w:color="000000"/>
            </w:tcBorders>
            <w:vAlign w:val="center"/>
          </w:tcPr>
          <w:p>
            <w:pPr>
              <w:pStyle w:val="TableContents"/>
              <w:bidi w:val="0"/>
              <w:spacing w:before="0" w:after="283"/>
              <w:jc w:val="right"/>
              <w:rPr/>
            </w:pPr>
            <w:r>
              <w:rPr/>
              <w:t>12.8%</w:t>
            </w:r>
          </w:p>
        </w:tc>
        <w:tc>
          <w:tcPr>
            <w:tcW w:w="418" w:type="dxa"/>
            <w:tcBorders>
              <w:bottom w:val="single" w:sz="8" w:space="0" w:color="000000"/>
            </w:tcBorders>
            <w:vAlign w:val="center"/>
          </w:tcPr>
          <w:p>
            <w:pPr>
              <w:pStyle w:val="TableContents"/>
              <w:bidi w:val="0"/>
              <w:spacing w:before="0" w:after="283"/>
              <w:jc w:val="left"/>
              <w:rPr/>
            </w:pPr>
            <w:r>
              <w:rPr/>
              <w:t> </w:t>
            </w:r>
          </w:p>
        </w:tc>
      </w:tr>
      <w:tr>
        <w:trPr/>
        <w:tc>
          <w:tcPr>
            <w:tcW w:w="1949" w:type="dxa"/>
            <w:tcBorders>
              <w:top w:val="single" w:sz="8" w:space="0" w:color="000000"/>
            </w:tcBorders>
            <w:tcMar>
              <w:top w:w="28" w:type="dxa"/>
              <w:bottom w:w="0" w:type="dxa"/>
            </w:tcMar>
            <w:vAlign w:val="center"/>
          </w:tcPr>
          <w:p>
            <w:pPr>
              <w:pStyle w:val="TableContents"/>
              <w:bidi w:val="0"/>
              <w:spacing w:before="0" w:after="283"/>
              <w:jc w:val="left"/>
              <w:rPr/>
            </w:pPr>
            <w:r>
              <w:rPr/>
              <w:t>Total</w:t>
            </w:r>
          </w:p>
        </w:tc>
        <w:tc>
          <w:tcPr>
            <w:tcW w:w="844" w:type="dxa"/>
            <w:tcBorders>
              <w:top w:val="single" w:sz="8" w:space="0" w:color="000000"/>
            </w:tcBorders>
            <w:tcMar>
              <w:top w:w="28" w:type="dxa"/>
              <w:bottom w:w="0" w:type="dxa"/>
            </w:tcMar>
            <w:vAlign w:val="center"/>
          </w:tcPr>
          <w:p>
            <w:pPr>
              <w:pStyle w:val="TableContents"/>
              <w:bidi w:val="0"/>
              <w:spacing w:before="0" w:after="283"/>
              <w:jc w:val="right"/>
              <w:rPr/>
            </w:pPr>
            <w:r>
              <w:rPr/>
              <w:t>1,780.6</w:t>
            </w:r>
          </w:p>
        </w:tc>
        <w:tc>
          <w:tcPr>
            <w:tcW w:w="844" w:type="dxa"/>
            <w:tcBorders>
              <w:top w:val="single" w:sz="8" w:space="0" w:color="000000"/>
            </w:tcBorders>
            <w:tcMar>
              <w:top w:w="28" w:type="dxa"/>
              <w:bottom w:w="0" w:type="dxa"/>
            </w:tcMar>
            <w:vAlign w:val="center"/>
          </w:tcPr>
          <w:p>
            <w:pPr>
              <w:pStyle w:val="TableContents"/>
              <w:bidi w:val="0"/>
              <w:spacing w:before="0" w:after="283"/>
              <w:jc w:val="right"/>
              <w:rPr/>
            </w:pPr>
            <w:r>
              <w:rPr/>
              <w:t>1,596.7</w:t>
            </w:r>
          </w:p>
        </w:tc>
        <w:tc>
          <w:tcPr>
            <w:tcW w:w="808" w:type="dxa"/>
            <w:tcBorders>
              <w:top w:val="single" w:sz="8" w:space="0" w:color="000000"/>
            </w:tcBorders>
            <w:tcMar>
              <w:top w:w="28" w:type="dxa"/>
              <w:bottom w:w="0" w:type="dxa"/>
            </w:tcMar>
            <w:vAlign w:val="center"/>
          </w:tcPr>
          <w:p>
            <w:pPr>
              <w:pStyle w:val="TableContents"/>
              <w:bidi w:val="0"/>
              <w:spacing w:before="0" w:after="283"/>
              <w:jc w:val="right"/>
              <w:rPr/>
            </w:pPr>
            <w:r>
              <w:rPr/>
              <w:t>183.9</w:t>
            </w:r>
          </w:p>
        </w:tc>
        <w:tc>
          <w:tcPr>
            <w:tcW w:w="183" w:type="dxa"/>
            <w:tcBorders>
              <w:top w:val="single" w:sz="8" w:space="0" w:color="000000"/>
            </w:tcBorders>
            <w:tcMar>
              <w:top w:w="28" w:type="dxa"/>
              <w:bottom w:w="0" w:type="dxa"/>
            </w:tcMar>
            <w:vAlign w:val="center"/>
          </w:tcPr>
          <w:p>
            <w:pPr>
              <w:pStyle w:val="TableContents"/>
              <w:bidi w:val="0"/>
              <w:spacing w:before="0" w:after="283"/>
              <w:jc w:val="left"/>
              <w:rPr/>
            </w:pPr>
            <w:r>
              <w:rPr/>
              <w:t> </w:t>
            </w:r>
          </w:p>
        </w:tc>
        <w:tc>
          <w:tcPr>
            <w:tcW w:w="1298" w:type="dxa"/>
            <w:tcBorders>
              <w:top w:val="single" w:sz="8" w:space="0" w:color="000000"/>
            </w:tcBorders>
            <w:tcMar>
              <w:top w:w="28" w:type="dxa"/>
              <w:bottom w:w="0" w:type="dxa"/>
            </w:tcMar>
            <w:vAlign w:val="center"/>
          </w:tcPr>
          <w:p>
            <w:pPr>
              <w:pStyle w:val="TableContents"/>
              <w:bidi w:val="0"/>
              <w:spacing w:before="0" w:after="283"/>
              <w:jc w:val="right"/>
              <w:rPr/>
            </w:pPr>
            <w:r>
              <w:rPr/>
              <w:t>113.9</w:t>
            </w:r>
          </w:p>
        </w:tc>
        <w:tc>
          <w:tcPr>
            <w:tcW w:w="294" w:type="dxa"/>
            <w:tcBorders>
              <w:top w:val="single" w:sz="8" w:space="0" w:color="000000"/>
            </w:tcBorders>
            <w:tcMar>
              <w:top w:w="28" w:type="dxa"/>
              <w:bottom w:w="0" w:type="dxa"/>
            </w:tcMar>
            <w:vAlign w:val="center"/>
          </w:tcPr>
          <w:p>
            <w:pPr>
              <w:pStyle w:val="TableContents"/>
              <w:bidi w:val="0"/>
              <w:spacing w:before="0" w:after="283"/>
              <w:jc w:val="left"/>
              <w:rPr/>
            </w:pPr>
            <w:r>
              <w:rPr/>
              <w:t> </w:t>
            </w:r>
          </w:p>
        </w:tc>
        <w:tc>
          <w:tcPr>
            <w:tcW w:w="1103" w:type="dxa"/>
            <w:tcBorders>
              <w:top w:val="single" w:sz="8" w:space="0" w:color="000000"/>
            </w:tcBorders>
            <w:tcMar>
              <w:top w:w="28" w:type="dxa"/>
              <w:bottom w:w="0" w:type="dxa"/>
            </w:tcMar>
            <w:vAlign w:val="center"/>
          </w:tcPr>
          <w:p>
            <w:pPr>
              <w:pStyle w:val="TableContents"/>
              <w:bidi w:val="0"/>
              <w:spacing w:before="0" w:after="283"/>
              <w:jc w:val="right"/>
              <w:rPr/>
            </w:pPr>
            <w:r>
              <w:rPr/>
              <w:t>11.2</w:t>
            </w:r>
          </w:p>
        </w:tc>
        <w:tc>
          <w:tcPr>
            <w:tcW w:w="380" w:type="dxa"/>
            <w:tcBorders>
              <w:top w:val="single" w:sz="8" w:space="0" w:color="000000"/>
            </w:tcBorders>
            <w:tcMar>
              <w:top w:w="28" w:type="dxa"/>
              <w:bottom w:w="0" w:type="dxa"/>
            </w:tcMar>
            <w:vAlign w:val="center"/>
          </w:tcPr>
          <w:p>
            <w:pPr>
              <w:pStyle w:val="TableContents"/>
              <w:bidi w:val="0"/>
              <w:spacing w:before="0" w:after="283"/>
              <w:jc w:val="left"/>
              <w:rPr/>
            </w:pPr>
            <w:r>
              <w:rPr/>
              <w:t> </w:t>
            </w:r>
          </w:p>
        </w:tc>
        <w:tc>
          <w:tcPr>
            <w:tcW w:w="1020" w:type="dxa"/>
            <w:tcBorders>
              <w:top w:val="single" w:sz="8" w:space="0" w:color="000000"/>
            </w:tcBorders>
            <w:tcMar>
              <w:top w:w="28" w:type="dxa"/>
              <w:bottom w:w="0" w:type="dxa"/>
            </w:tcMar>
            <w:vAlign w:val="center"/>
          </w:tcPr>
          <w:p>
            <w:pPr>
              <w:pStyle w:val="TableContents"/>
              <w:bidi w:val="0"/>
              <w:spacing w:before="0" w:after="283"/>
              <w:jc w:val="right"/>
              <w:rPr/>
            </w:pPr>
            <w:r>
              <w:rPr/>
              <w:t>58.8</w:t>
            </w:r>
          </w:p>
        </w:tc>
        <w:tc>
          <w:tcPr>
            <w:tcW w:w="284" w:type="dxa"/>
            <w:tcBorders>
              <w:top w:val="single" w:sz="8" w:space="0" w:color="000000"/>
            </w:tcBorders>
            <w:tcMar>
              <w:top w:w="28" w:type="dxa"/>
              <w:bottom w:w="0" w:type="dxa"/>
            </w:tcMar>
            <w:vAlign w:val="center"/>
          </w:tcPr>
          <w:p>
            <w:pPr>
              <w:pStyle w:val="TableContents"/>
              <w:bidi w:val="0"/>
              <w:spacing w:before="0" w:after="283"/>
              <w:jc w:val="left"/>
              <w:rPr/>
            </w:pPr>
            <w:r>
              <w:rPr/>
              <w:t> </w:t>
            </w:r>
          </w:p>
        </w:tc>
        <w:tc>
          <w:tcPr>
            <w:tcW w:w="1198" w:type="dxa"/>
            <w:gridSpan w:val="2"/>
            <w:tcBorders>
              <w:top w:val="single" w:sz="8" w:space="0" w:color="000000"/>
            </w:tcBorders>
            <w:tcMar>
              <w:top w:w="28" w:type="dxa"/>
              <w:bottom w:w="0" w:type="dxa"/>
            </w:tcMar>
            <w:vAlign w:val="center"/>
          </w:tcPr>
          <w:p>
            <w:pPr>
              <w:pStyle w:val="TableContents"/>
              <w:bidi w:val="0"/>
              <w:spacing w:before="0" w:after="283"/>
              <w:jc w:val="left"/>
              <w:rPr/>
            </w:pPr>
            <w:r>
              <w:rPr/>
              <w:t> </w:t>
            </w:r>
          </w:p>
        </w:tc>
      </w:tr>
      <w:tr>
        <w:trPr/>
        <w:tc>
          <w:tcPr>
            <w:tcW w:w="1949" w:type="dxa"/>
            <w:tcBorders>
              <w:bottom w:val="single" w:sz="8" w:space="0" w:color="000000"/>
            </w:tcBorders>
            <w:vAlign w:val="center"/>
          </w:tcPr>
          <w:p>
            <w:pPr>
              <w:pStyle w:val="TableContents"/>
              <w:bidi w:val="0"/>
              <w:spacing w:before="0" w:after="283"/>
              <w:jc w:val="left"/>
              <w:rPr/>
            </w:pPr>
            <w:r>
              <w:rPr/>
              <w:t>Percentage Growth</w:t>
            </w:r>
          </w:p>
        </w:tc>
        <w:tc>
          <w:tcPr>
            <w:tcW w:w="844" w:type="dxa"/>
            <w:tcBorders>
              <w:bottom w:val="single" w:sz="8" w:space="0" w:color="000000"/>
            </w:tcBorders>
            <w:vAlign w:val="center"/>
          </w:tcPr>
          <w:p>
            <w:pPr>
              <w:pStyle w:val="TableContents"/>
              <w:bidi w:val="0"/>
              <w:spacing w:before="0" w:after="283"/>
              <w:jc w:val="left"/>
              <w:rPr/>
            </w:pPr>
            <w:r>
              <w:rPr/>
              <w:t> </w:t>
            </w:r>
          </w:p>
        </w:tc>
        <w:tc>
          <w:tcPr>
            <w:tcW w:w="844" w:type="dxa"/>
            <w:tcBorders>
              <w:bottom w:val="single" w:sz="8" w:space="0" w:color="000000"/>
            </w:tcBorders>
            <w:vAlign w:val="center"/>
          </w:tcPr>
          <w:p>
            <w:pPr>
              <w:pStyle w:val="TableContents"/>
              <w:bidi w:val="0"/>
              <w:spacing w:before="0" w:after="283"/>
              <w:jc w:val="left"/>
              <w:rPr/>
            </w:pPr>
            <w:r>
              <w:rPr/>
              <w:t> </w:t>
            </w:r>
          </w:p>
        </w:tc>
        <w:tc>
          <w:tcPr>
            <w:tcW w:w="808" w:type="dxa"/>
            <w:tcBorders>
              <w:bottom w:val="single" w:sz="8" w:space="0" w:color="000000"/>
            </w:tcBorders>
            <w:vAlign w:val="center"/>
          </w:tcPr>
          <w:p>
            <w:pPr>
              <w:pStyle w:val="TableContents"/>
              <w:bidi w:val="0"/>
              <w:spacing w:before="0" w:after="283"/>
              <w:jc w:val="right"/>
              <w:rPr/>
            </w:pPr>
            <w:r>
              <w:rPr/>
              <w:t>11.5%</w:t>
            </w:r>
          </w:p>
        </w:tc>
        <w:tc>
          <w:tcPr>
            <w:tcW w:w="183" w:type="dxa"/>
            <w:tcBorders>
              <w:bottom w:val="single" w:sz="8" w:space="0" w:color="000000"/>
            </w:tcBorders>
            <w:vAlign w:val="center"/>
          </w:tcPr>
          <w:p>
            <w:pPr>
              <w:pStyle w:val="TableContents"/>
              <w:bidi w:val="0"/>
              <w:spacing w:before="0" w:after="283"/>
              <w:jc w:val="left"/>
              <w:rPr/>
            </w:pPr>
            <w:r>
              <w:rPr/>
              <w:t> </w:t>
            </w:r>
          </w:p>
        </w:tc>
        <w:tc>
          <w:tcPr>
            <w:tcW w:w="1298" w:type="dxa"/>
            <w:tcBorders>
              <w:bottom w:val="single" w:sz="8" w:space="0" w:color="000000"/>
            </w:tcBorders>
            <w:vAlign w:val="center"/>
          </w:tcPr>
          <w:p>
            <w:pPr>
              <w:pStyle w:val="TableContents"/>
              <w:bidi w:val="0"/>
              <w:spacing w:before="0" w:after="283"/>
              <w:jc w:val="right"/>
              <w:rPr/>
            </w:pPr>
            <w:r>
              <w:rPr/>
              <w:t>7.1%</w:t>
            </w:r>
          </w:p>
        </w:tc>
        <w:tc>
          <w:tcPr>
            <w:tcW w:w="294" w:type="dxa"/>
            <w:tcBorders>
              <w:bottom w:val="single" w:sz="8" w:space="0" w:color="000000"/>
            </w:tcBorders>
            <w:vAlign w:val="center"/>
          </w:tcPr>
          <w:p>
            <w:pPr>
              <w:pStyle w:val="TableContents"/>
              <w:bidi w:val="0"/>
              <w:spacing w:before="0" w:after="283"/>
              <w:jc w:val="left"/>
              <w:rPr/>
            </w:pPr>
            <w:r>
              <w:rPr/>
              <w:t> </w:t>
            </w:r>
          </w:p>
        </w:tc>
        <w:tc>
          <w:tcPr>
            <w:tcW w:w="1103" w:type="dxa"/>
            <w:tcBorders>
              <w:bottom w:val="single" w:sz="8" w:space="0" w:color="000000"/>
            </w:tcBorders>
            <w:vAlign w:val="center"/>
          </w:tcPr>
          <w:p>
            <w:pPr>
              <w:pStyle w:val="TableContents"/>
              <w:bidi w:val="0"/>
              <w:spacing w:before="0" w:after="283"/>
              <w:jc w:val="right"/>
              <w:rPr/>
            </w:pPr>
            <w:r>
              <w:rPr/>
              <w:t>0.7%</w:t>
            </w:r>
          </w:p>
        </w:tc>
        <w:tc>
          <w:tcPr>
            <w:tcW w:w="380" w:type="dxa"/>
            <w:tcBorders>
              <w:bottom w:val="single" w:sz="8" w:space="0" w:color="000000"/>
            </w:tcBorders>
            <w:vAlign w:val="center"/>
          </w:tcPr>
          <w:p>
            <w:pPr>
              <w:pStyle w:val="TableContents"/>
              <w:bidi w:val="0"/>
              <w:spacing w:before="0" w:after="283"/>
              <w:jc w:val="left"/>
              <w:rPr/>
            </w:pPr>
            <w:r>
              <w:rPr/>
              <w:t> </w:t>
            </w:r>
          </w:p>
        </w:tc>
        <w:tc>
          <w:tcPr>
            <w:tcW w:w="1020" w:type="dxa"/>
            <w:tcBorders>
              <w:bottom w:val="single" w:sz="8" w:space="0" w:color="000000"/>
            </w:tcBorders>
            <w:vAlign w:val="center"/>
          </w:tcPr>
          <w:p>
            <w:pPr>
              <w:pStyle w:val="TableContents"/>
              <w:bidi w:val="0"/>
              <w:spacing w:before="0" w:after="283"/>
              <w:jc w:val="right"/>
              <w:rPr/>
            </w:pPr>
            <w:r>
              <w:rPr/>
              <w:t>3.7%</w:t>
            </w:r>
          </w:p>
        </w:tc>
        <w:tc>
          <w:tcPr>
            <w:tcW w:w="284" w:type="dxa"/>
            <w:tcBorders>
              <w:bottom w:val="single" w:sz="8" w:space="0" w:color="000000"/>
            </w:tcBorders>
            <w:vAlign w:val="center"/>
          </w:tcPr>
          <w:p>
            <w:pPr>
              <w:pStyle w:val="TableContents"/>
              <w:bidi w:val="0"/>
              <w:spacing w:before="0" w:after="283"/>
              <w:jc w:val="left"/>
              <w:rPr/>
            </w:pPr>
            <w:r>
              <w:rPr/>
              <w:t> </w:t>
            </w:r>
          </w:p>
        </w:tc>
        <w:tc>
          <w:tcPr>
            <w:tcW w:w="1198" w:type="dxa"/>
            <w:gridSpan w:val="2"/>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283"/>
        <w:jc w:val="left"/>
        <w:rPr/>
      </w:pPr>
      <w:r>
        <w:rPr>
          <w:rStyle w:val="StrongEmphasis"/>
        </w:rPr>
        <w:br/>
        <w:t>Backlog</w:t>
      </w:r>
    </w:p>
    <w:tbl>
      <w:tblPr>
        <w:tblW w:w="10205" w:type="dxa"/>
        <w:jc w:val="left"/>
        <w:tblInd w:w="0" w:type="dxa"/>
        <w:tblLayout w:type="fixed"/>
        <w:tblCellMar>
          <w:top w:w="28" w:type="dxa"/>
          <w:left w:w="28" w:type="dxa"/>
          <w:bottom w:w="28" w:type="dxa"/>
          <w:right w:w="28" w:type="dxa"/>
        </w:tblCellMar>
      </w:tblPr>
      <w:tblGrid>
        <w:gridCol w:w="1826"/>
        <w:gridCol w:w="908"/>
        <w:gridCol w:w="908"/>
        <w:gridCol w:w="891"/>
        <w:gridCol w:w="157"/>
        <w:gridCol w:w="1288"/>
        <w:gridCol w:w="292"/>
        <w:gridCol w:w="1195"/>
        <w:gridCol w:w="270"/>
        <w:gridCol w:w="1048"/>
        <w:gridCol w:w="237"/>
        <w:gridCol w:w="866"/>
        <w:gridCol w:w="319"/>
      </w:tblGrid>
      <w:tr>
        <w:trPr/>
        <w:tc>
          <w:tcPr>
            <w:tcW w:w="10205" w:type="dxa"/>
            <w:gridSpan w:val="13"/>
            <w:tcBorders/>
            <w:vAlign w:val="center"/>
          </w:tcPr>
          <w:p>
            <w:pPr>
              <w:pStyle w:val="TableContents"/>
              <w:bidi w:val="0"/>
              <w:spacing w:before="0" w:after="283"/>
              <w:jc w:val="left"/>
              <w:rPr/>
            </w:pPr>
            <w:r>
              <w:rPr>
                <w:rStyle w:val="StrongEmphasis"/>
              </w:rPr>
              <w:t>Backlog by Reportable Segment - June 30, 2026 vs June 30, 2025</w:t>
            </w:r>
          </w:p>
        </w:tc>
      </w:tr>
      <w:tr>
        <w:trPr/>
        <w:tc>
          <w:tcPr>
            <w:tcW w:w="18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Style w:val="Emphasis"/>
              </w:rPr>
              <w:t>(In millions of Canadian dollars, except percentages)</w:t>
            </w:r>
          </w:p>
        </w:tc>
        <w:tc>
          <w:tcPr>
            <w:tcW w:w="90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Jun 30, 2026</w:t>
            </w:r>
          </w:p>
        </w:tc>
        <w:tc>
          <w:tcPr>
            <w:tcW w:w="90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Jun 30, 2025</w:t>
            </w:r>
          </w:p>
        </w:tc>
        <w:tc>
          <w:tcPr>
            <w:tcW w:w="1048" w:type="dxa"/>
            <w:gridSpan w:val="2"/>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Total Change</w:t>
            </w:r>
          </w:p>
        </w:tc>
        <w:tc>
          <w:tcPr>
            <w:tcW w:w="1580" w:type="dxa"/>
            <w:gridSpan w:val="2"/>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Change Due to Acquisitions</w:t>
            </w:r>
          </w:p>
        </w:tc>
        <w:tc>
          <w:tcPr>
            <w:tcW w:w="1465" w:type="dxa"/>
            <w:gridSpan w:val="2"/>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Change Due to Foreign Exchange</w:t>
            </w:r>
          </w:p>
        </w:tc>
        <w:tc>
          <w:tcPr>
            <w:tcW w:w="1285" w:type="dxa"/>
            <w:gridSpan w:val="2"/>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Change Due to Organic Growth</w:t>
            </w:r>
          </w:p>
        </w:tc>
        <w:tc>
          <w:tcPr>
            <w:tcW w:w="1185" w:type="dxa"/>
            <w:gridSpan w:val="2"/>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 of Organic Growth</w:t>
            </w:r>
          </w:p>
        </w:tc>
      </w:tr>
      <w:tr>
        <w:trPr/>
        <w:tc>
          <w:tcPr>
            <w:tcW w:w="18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Canada</w:t>
            </w:r>
          </w:p>
        </w:tc>
        <w:tc>
          <w:tcPr>
            <w:tcW w:w="90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1,862.4</w:t>
            </w:r>
          </w:p>
        </w:tc>
        <w:tc>
          <w:tcPr>
            <w:tcW w:w="90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1,786.6</w:t>
            </w:r>
          </w:p>
        </w:tc>
        <w:tc>
          <w:tcPr>
            <w:tcW w:w="89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75.8</w:t>
            </w:r>
          </w:p>
        </w:tc>
        <w:tc>
          <w:tcPr>
            <w:tcW w:w="15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28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29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9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270"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04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75.8</w:t>
            </w:r>
          </w:p>
        </w:tc>
        <w:tc>
          <w:tcPr>
            <w:tcW w:w="23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4.2%</w:t>
            </w:r>
          </w:p>
        </w:tc>
        <w:tc>
          <w:tcPr>
            <w:tcW w:w="31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1826" w:type="dxa"/>
            <w:tcBorders/>
            <w:vAlign w:val="center"/>
          </w:tcPr>
          <w:p>
            <w:pPr>
              <w:pStyle w:val="TableContents"/>
              <w:bidi w:val="0"/>
              <w:spacing w:before="0" w:after="283"/>
              <w:jc w:val="left"/>
              <w:rPr/>
            </w:pPr>
            <w:r>
              <w:rPr/>
              <w:t>United States</w:t>
            </w:r>
          </w:p>
        </w:tc>
        <w:tc>
          <w:tcPr>
            <w:tcW w:w="908" w:type="dxa"/>
            <w:tcBorders/>
            <w:vAlign w:val="center"/>
          </w:tcPr>
          <w:p>
            <w:pPr>
              <w:pStyle w:val="TableContents"/>
              <w:bidi w:val="0"/>
              <w:spacing w:before="0" w:after="283"/>
              <w:jc w:val="right"/>
              <w:rPr/>
            </w:pPr>
            <w:r>
              <w:rPr/>
              <w:t>5,465.9</w:t>
            </w:r>
          </w:p>
        </w:tc>
        <w:tc>
          <w:tcPr>
            <w:tcW w:w="908" w:type="dxa"/>
            <w:tcBorders/>
            <w:vAlign w:val="center"/>
          </w:tcPr>
          <w:p>
            <w:pPr>
              <w:pStyle w:val="TableContents"/>
              <w:bidi w:val="0"/>
              <w:spacing w:before="0" w:after="283"/>
              <w:jc w:val="right"/>
              <w:rPr/>
            </w:pPr>
            <w:r>
              <w:rPr/>
              <w:t>4,584.7</w:t>
            </w:r>
          </w:p>
        </w:tc>
        <w:tc>
          <w:tcPr>
            <w:tcW w:w="891" w:type="dxa"/>
            <w:tcBorders/>
            <w:vAlign w:val="center"/>
          </w:tcPr>
          <w:p>
            <w:pPr>
              <w:pStyle w:val="TableContents"/>
              <w:bidi w:val="0"/>
              <w:spacing w:before="0" w:after="283"/>
              <w:jc w:val="right"/>
              <w:rPr/>
            </w:pPr>
            <w:r>
              <w:rPr/>
              <w:t>881.2</w:t>
            </w:r>
          </w:p>
        </w:tc>
        <w:tc>
          <w:tcPr>
            <w:tcW w:w="157"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598.6</w:t>
            </w:r>
          </w:p>
        </w:tc>
        <w:tc>
          <w:tcPr>
            <w:tcW w:w="292" w:type="dxa"/>
            <w:tcBorders/>
            <w:vAlign w:val="center"/>
          </w:tcPr>
          <w:p>
            <w:pPr>
              <w:pStyle w:val="TableContents"/>
              <w:bidi w:val="0"/>
              <w:spacing w:before="0" w:after="283"/>
              <w:jc w:val="left"/>
              <w:rPr/>
            </w:pPr>
            <w:r>
              <w:rPr/>
              <w:t> </w:t>
            </w:r>
          </w:p>
        </w:tc>
        <w:tc>
          <w:tcPr>
            <w:tcW w:w="1195" w:type="dxa"/>
            <w:tcBorders/>
            <w:vAlign w:val="center"/>
          </w:tcPr>
          <w:p>
            <w:pPr>
              <w:pStyle w:val="TableContents"/>
              <w:bidi w:val="0"/>
              <w:spacing w:before="0" w:after="283"/>
              <w:jc w:val="right"/>
              <w:rPr/>
            </w:pPr>
            <w:r>
              <w:rPr/>
              <w:t>174.4</w:t>
            </w:r>
          </w:p>
        </w:tc>
        <w:tc>
          <w:tcPr>
            <w:tcW w:w="270"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108.2</w:t>
            </w:r>
          </w:p>
        </w:tc>
        <w:tc>
          <w:tcPr>
            <w:tcW w:w="237"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right"/>
              <w:rPr/>
            </w:pPr>
            <w:r>
              <w:rPr/>
              <w:t>2.4%</w:t>
            </w:r>
          </w:p>
        </w:tc>
        <w:tc>
          <w:tcPr>
            <w:tcW w:w="319" w:type="dxa"/>
            <w:tcBorders/>
            <w:vAlign w:val="center"/>
          </w:tcPr>
          <w:p>
            <w:pPr>
              <w:pStyle w:val="TableContents"/>
              <w:bidi w:val="0"/>
              <w:spacing w:before="0" w:after="283"/>
              <w:jc w:val="left"/>
              <w:rPr/>
            </w:pPr>
            <w:r>
              <w:rPr/>
              <w:t> </w:t>
            </w:r>
          </w:p>
        </w:tc>
      </w:tr>
      <w:tr>
        <w:trPr/>
        <w:tc>
          <w:tcPr>
            <w:tcW w:w="18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Global</w:t>
            </w:r>
          </w:p>
        </w:tc>
        <w:tc>
          <w:tcPr>
            <w:tcW w:w="90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1,908.0</w:t>
            </w:r>
          </w:p>
        </w:tc>
        <w:tc>
          <w:tcPr>
            <w:tcW w:w="90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1,490.5</w:t>
            </w:r>
          </w:p>
        </w:tc>
        <w:tc>
          <w:tcPr>
            <w:tcW w:w="89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417.5</w:t>
            </w:r>
          </w:p>
        </w:tc>
        <w:tc>
          <w:tcPr>
            <w:tcW w:w="1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11.9</w:t>
            </w:r>
          </w:p>
        </w:tc>
        <w:tc>
          <w:tcPr>
            <w:tcW w:w="29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37.6</w:t>
            </w:r>
          </w:p>
        </w:tc>
        <w:tc>
          <w:tcPr>
            <w:tcW w:w="27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368.0</w:t>
            </w:r>
          </w:p>
        </w:tc>
        <w:tc>
          <w:tcPr>
            <w:tcW w:w="23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24.7%</w:t>
            </w:r>
          </w:p>
        </w:tc>
        <w:tc>
          <w:tcPr>
            <w:tcW w:w="31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Total</w:t>
            </w:r>
          </w:p>
        </w:tc>
        <w:tc>
          <w:tcPr>
            <w:tcW w:w="90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9,236.3</w:t>
            </w:r>
          </w:p>
        </w:tc>
        <w:tc>
          <w:tcPr>
            <w:tcW w:w="90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7,861.8</w:t>
            </w:r>
          </w:p>
        </w:tc>
        <w:tc>
          <w:tcPr>
            <w:tcW w:w="89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1,374.5</w:t>
            </w:r>
          </w:p>
        </w:tc>
        <w:tc>
          <w:tcPr>
            <w:tcW w:w="15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28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610.5</w:t>
            </w:r>
          </w:p>
        </w:tc>
        <w:tc>
          <w:tcPr>
            <w:tcW w:w="29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9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212.0</w:t>
            </w:r>
          </w:p>
        </w:tc>
        <w:tc>
          <w:tcPr>
            <w:tcW w:w="270"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04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552.0</w:t>
            </w:r>
          </w:p>
        </w:tc>
        <w:tc>
          <w:tcPr>
            <w:tcW w:w="23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85"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18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Percentage Growth</w:t>
            </w:r>
          </w:p>
        </w:tc>
        <w:tc>
          <w:tcPr>
            <w:tcW w:w="90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17.5%</w:t>
            </w:r>
          </w:p>
        </w:tc>
        <w:tc>
          <w:tcPr>
            <w:tcW w:w="1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7.8%</w:t>
            </w:r>
          </w:p>
        </w:tc>
        <w:tc>
          <w:tcPr>
            <w:tcW w:w="29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2.7%</w:t>
            </w:r>
          </w:p>
        </w:tc>
        <w:tc>
          <w:tcPr>
            <w:tcW w:w="27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7.0%</w:t>
            </w:r>
          </w:p>
        </w:tc>
        <w:tc>
          <w:tcPr>
            <w:tcW w:w="23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rStyle w:val="StrongEmphasis"/>
        </w:rPr>
        <w:br/>
        <w:t>Webcast &amp; Conference Call</w:t>
      </w:r>
    </w:p>
    <w:p>
      <w:pPr>
        <w:pStyle w:val="TextBody"/>
        <w:bidi w:val="0"/>
        <w:spacing w:before="0" w:after="283"/>
        <w:jc w:val="left"/>
        <w:rPr/>
      </w:pPr>
      <w:r>
        <w:rPr/>
        <w:t xml:space="preserve">Stantec will host a live webcast and conference call on Thursday, August 13, 2026, at 7:00 AM Mountain Time (9:00 AM Eastern Time) to discuss the Company’s second quarter performance. </w:t>
        <w:br/>
        <w:br/>
        <w:t xml:space="preserve">To listen to the webcast and view the slide presentation, please join </w:t>
      </w:r>
      <w:r>
        <w:rPr>
          <w:u w:val="single"/>
        </w:rPr>
        <w:t>here.</w:t>
      </w:r>
    </w:p>
    <w:p>
      <w:pPr>
        <w:pStyle w:val="TextBody"/>
        <w:bidi w:val="0"/>
        <w:spacing w:before="0" w:after="283"/>
        <w:jc w:val="left"/>
        <w:rPr/>
      </w:pPr>
      <w:r>
        <w:rPr/>
        <w:t xml:space="preserve">If you are an analyst and would like to participate in the Q&amp;A, please register </w:t>
      </w:r>
      <w:r>
        <w:rPr>
          <w:u w:val="single"/>
        </w:rPr>
        <w:t>here.</w:t>
      </w:r>
      <w:r>
        <w:rPr/>
        <w:br/>
        <w:t xml:space="preserve">   </w:t>
        <w:br/>
        <w:t xml:space="preserve">The conference call and slideshow presentation will be broadcast live and archived in their entirety in the Investors section of </w:t>
      </w:r>
      <w:r>
        <w:rPr>
          <w:u w:val="single"/>
        </w:rPr>
        <w:t>Stantec.com</w:t>
      </w:r>
      <w:r>
        <w:rPr/>
        <w:t>.</w:t>
      </w:r>
    </w:p>
    <w:p>
      <w:pPr>
        <w:pStyle w:val="TextBody"/>
        <w:bidi w:val="0"/>
        <w:spacing w:before="0" w:after="283"/>
        <w:jc w:val="left"/>
        <w:rPr/>
      </w:pPr>
      <w:r>
        <w:rPr>
          <w:rStyle w:val="StrongEmphasis"/>
        </w:rPr>
        <w:t>About Stantec</w:t>
      </w:r>
    </w:p>
    <w:p>
      <w:pPr>
        <w:pStyle w:val="TextBody"/>
        <w:bidi w:val="0"/>
        <w:spacing w:before="0" w:after="283"/>
        <w:jc w:val="left"/>
        <w:rPr/>
      </w:pPr>
      <w:r>
        <w:rPr/>
        <w:t>Stantec empowers clients, people, and communities to rise to the world’s greatest challenges at a time when the world faces more unprecedented concerns than ever before. </w:t>
      </w:r>
    </w:p>
    <w:p>
      <w:pPr>
        <w:pStyle w:val="TextBody"/>
        <w:bidi w:val="0"/>
        <w:spacing w:before="0" w:after="283"/>
        <w:jc w:val="left"/>
        <w:rPr/>
      </w:pPr>
      <w:r>
        <w:rPr/>
        <w:t>​</w:t>
      </w:r>
      <w:r>
        <w:rPr/>
        <w:t>We are a global leader in sustainable engineering, architecture, and environmental consulting. ​Our professionals deliver the expertise, technology, and innovation communities need to manage aging infrastructure, demographic and population changes, the energy transition, and more. ​</w:t>
      </w:r>
    </w:p>
    <w:p>
      <w:pPr>
        <w:pStyle w:val="TextBody"/>
        <w:bidi w:val="0"/>
        <w:spacing w:before="0" w:after="283"/>
        <w:jc w:val="left"/>
        <w:rPr/>
      </w:pPr>
      <w:r>
        <w:rPr/>
        <w:t>Today’s communities transcend geographic borders. At Stantec, community means everyone with an interest in the work that we do—from our project teams and industry colleagues to our clients and the people our work impacts. The diverse perspectives of our partners and interested parties drive us to think beyond what’s previously been done on critical issues like climate change, digital transformation, and future-proofing our cities and infrastructure. ​</w:t>
      </w:r>
    </w:p>
    <w:p>
      <w:pPr>
        <w:pStyle w:val="TextBody"/>
        <w:bidi w:val="0"/>
        <w:spacing w:before="0" w:after="283"/>
        <w:jc w:val="left"/>
        <w:rPr/>
      </w:pPr>
      <w:r>
        <w:rPr/>
        <w:t>We are designers, engineers, scientists, project managers, and strategic advisors. We innovate at the intersection of community, creativity, and client relationships to advance communities everywhere, so that together we can redefine what’s possible.​</w:t>
      </w:r>
    </w:p>
    <w:p>
      <w:pPr>
        <w:pStyle w:val="TextBody"/>
        <w:bidi w:val="0"/>
        <w:spacing w:before="0" w:after="283"/>
        <w:jc w:val="left"/>
        <w:rPr/>
      </w:pPr>
      <w:r>
        <w:rPr/>
        <w:t>Stantec trades on the TSX and the NYSE under the symbol STN.</w:t>
      </w:r>
    </w:p>
    <w:p>
      <w:pPr>
        <w:pStyle w:val="TextBody"/>
        <w:bidi w:val="0"/>
        <w:spacing w:before="0" w:after="283"/>
        <w:jc w:val="left"/>
        <w:rPr/>
      </w:pPr>
      <w:r>
        <w:rPr>
          <w:rStyle w:val="StrongEmphasis"/>
        </w:rPr>
        <w:t>Cautionary Statements</w:t>
      </w:r>
    </w:p>
    <w:p>
      <w:pPr>
        <w:pStyle w:val="TextBody"/>
        <w:bidi w:val="0"/>
        <w:spacing w:before="0" w:after="283"/>
        <w:jc w:val="left"/>
        <w:rPr/>
      </w:pPr>
      <w:r>
        <w:rPr>
          <w:rStyle w:val="StrongEmphasis"/>
        </w:rPr>
        <w:t xml:space="preserve">Non-IFRS and Other Financial Measures </w:t>
      </w:r>
    </w:p>
    <w:p>
      <w:pPr>
        <w:pStyle w:val="TextBody"/>
        <w:bidi w:val="0"/>
        <w:spacing w:before="0" w:after="283"/>
        <w:jc w:val="left"/>
        <w:rPr/>
      </w:pPr>
      <w:r>
        <w:rPr>
          <w:rStyle w:val="Emphasis"/>
        </w:rPr>
        <w:t xml:space="preserve">Stantec reports its financial results in accordance with IFRS. However, in this press release, the following non-IFRS and other financial measures are used by the Company: adjusted EBITDA, adjusted net income, adjusted earnings per share (EPS), adjusted return on invested capital (ROIC), free cash flow, free cash flow to net income, net debt to adjusted EBITDA, days sales outstanding (DSO), margin (percentage of net revenue), organic growth (retraction), acquisition growth, and measures described as on a constant currency basis and the impact of foreign exchange or currency fluctuations, as well as measures and ratios calculated using these non-IFRS or other financial measures. Additional disclosure for these non-IFRS and other financial measures, incorporated by reference, is included in the Definitions of Non-IFRS and Other Financial Measures section of the Q2 2026 Management’s Discussion and Analysis, available on SEDAR+ at sedarplus.ca, EDGAR at sec.gov, and the Company’s website at Stantec.com and the reconciliation of Non-IFRS Financial Measures appended hereto. </w:t>
      </w:r>
    </w:p>
    <w:p>
      <w:pPr>
        <w:pStyle w:val="TextBody"/>
        <w:bidi w:val="0"/>
        <w:spacing w:before="0" w:after="283"/>
        <w:jc w:val="left"/>
        <w:rPr/>
      </w:pPr>
      <w:r>
        <w:rPr>
          <w:rStyle w:val="Emphasis"/>
        </w:rPr>
        <w:t>These non-IFRS and other financial measures do not have a standardized meaning under IFRS and, therefore, may not be comparable similar measures presented by other issuers. Management believes that, in addition to conventional measures prepared in accordance with IFRS, these non-IFRS and other financial measures provide useful information to investors to assist them in understanding components of Stantec's financial results. These measures should not be considered in isolation or viewed as a substitute for the related financial information prepared in accordance with IFRS.</w:t>
      </w:r>
    </w:p>
    <w:p>
      <w:pPr>
        <w:pStyle w:val="TextBody"/>
        <w:bidi w:val="0"/>
        <w:spacing w:before="0" w:after="283"/>
        <w:jc w:val="left"/>
        <w:rPr/>
      </w:pPr>
      <w:r>
        <w:rPr>
          <w:rStyle w:val="StrongEmphasis"/>
        </w:rPr>
        <w:t xml:space="preserve">Forward-looking Statements </w:t>
      </w:r>
    </w:p>
    <w:p>
      <w:pPr>
        <w:pStyle w:val="TextBody"/>
        <w:bidi w:val="0"/>
        <w:spacing w:before="0" w:after="283"/>
        <w:jc w:val="left"/>
        <w:rPr/>
      </w:pPr>
      <w:r>
        <w:rPr>
          <w:rStyle w:val="Emphasis"/>
        </w:rPr>
        <w:t>Certain statements contained in this news release constitute forward-looking statements. Forward-looking statements in this news release include, but are not limited to, Stantec's Outlook and Annual Targets for 2026 in their entirety, any projections related to revenue, adjusted EBITDA as a % of net revenue, adjusted net income as a % of net revenue, adjusted diluted EPS growth, adjusted ROIC, free cash flow to net income, net debt to adjusted EBITDA, effective tax rate, earnings patterns, and days sales outstanding. Any such statements represent the views of management only as of the date hereof and are presented for the purpose of assisting the Company’s shareholders in understanding Stantec’s operations, objectives, priorities, and anticipated financial performance as at and for the periods ended on the dates presented and may not be appropriate for other purposes. By their nature, forward-looking statements require management to make assumptions and are subject to inherent risks and uncertainties. Stantec's assumptions relating to the 2026 Outlook and Annual Targets are provided in the Company’s 2025 Annual Report.</w:t>
      </w:r>
    </w:p>
    <w:p>
      <w:pPr>
        <w:pStyle w:val="TextBody"/>
        <w:bidi w:val="0"/>
        <w:spacing w:before="0" w:after="283"/>
        <w:jc w:val="left"/>
        <w:rPr/>
      </w:pPr>
      <w:r>
        <w:rPr>
          <w:rStyle w:val="Emphasis"/>
        </w:rPr>
        <w:t>Readers of this news release are cautioned not to place undue reliance on forward-looking statements since a number of factors could cause actual future results to differ materially from the expectations expressed in these forward-looking statements. These factors include, but are not limited to, economic downturns, future pandemics or health crises that could adversely affect operations, reduced public or private sector capital spend, changing market conditions for Stantec’s services, and the risk that Stantec fails to capitalize on its strategic initiatives. Investors and the public should carefully consider these factors, other uncertainties, and potential events, as well as the inherent uncertainty of forward-looking statements, when relying on these statements to make decisions with respect to the Company.</w:t>
      </w:r>
    </w:p>
    <w:p>
      <w:pPr>
        <w:pStyle w:val="TextBody"/>
        <w:bidi w:val="0"/>
        <w:spacing w:before="0" w:after="283"/>
        <w:jc w:val="left"/>
        <w:rPr/>
      </w:pPr>
      <w:r>
        <w:rPr>
          <w:rStyle w:val="Emphasis"/>
        </w:rPr>
        <w:t xml:space="preserve">Future outcomes relating to forward-looking statements may be influenced by many factors and material risks. For the three and six month periods ended June 30, 2026, there has been no significant change in the risk factors from those described in Stantec's 2025 Annual Report. This report is accessible online by visiting EDGAR on the SEC website at </w:t>
      </w:r>
      <w:r>
        <w:rPr>
          <w:rStyle w:val="Emphasis"/>
          <w:u w:val="single"/>
        </w:rPr>
        <w:t>sec.gov</w:t>
      </w:r>
      <w:r>
        <w:rPr>
          <w:rStyle w:val="Emphasis"/>
        </w:rPr>
        <w:t xml:space="preserve"> or by visiting the CSA website at </w:t>
      </w:r>
      <w:r>
        <w:rPr>
          <w:rStyle w:val="Emphasis"/>
          <w:u w:val="single"/>
        </w:rPr>
        <w:t>sedarplus.com</w:t>
      </w:r>
      <w:r>
        <w:rPr>
          <w:rStyle w:val="Emphasis"/>
        </w:rPr>
        <w:t xml:space="preserve"> or Stantec’s website, </w:t>
      </w:r>
      <w:r>
        <w:rPr>
          <w:rStyle w:val="Emphasis"/>
          <w:u w:val="single"/>
        </w:rPr>
        <w:t>stantec.com</w:t>
      </w:r>
      <w:r>
        <w:rPr>
          <w:rStyle w:val="Emphasis"/>
        </w:rPr>
        <w:t xml:space="preserve">. You may obtain a hard copy of the </w:t>
      </w:r>
      <w:r>
        <w:rPr/>
        <w:t>2025</w:t>
      </w:r>
      <w:r>
        <w:rPr>
          <w:rStyle w:val="Emphasis"/>
        </w:rPr>
        <w:t xml:space="preserve"> Annual Report free of charge from the investor contact noted below.</w:t>
      </w:r>
    </w:p>
    <w:p>
      <w:pPr>
        <w:pStyle w:val="TextBody"/>
        <w:bidi w:val="0"/>
        <w:spacing w:before="0" w:after="283"/>
        <w:jc w:val="left"/>
        <w:rPr/>
      </w:pPr>
      <w:r>
        <w:rPr>
          <w:rStyle w:val="StrongEmphasis"/>
        </w:rPr>
        <w:t>Investor Contact</w:t>
      </w:r>
    </w:p>
    <w:p>
      <w:pPr>
        <w:pStyle w:val="TextBody"/>
        <w:bidi w:val="0"/>
        <w:spacing w:before="0" w:after="283"/>
        <w:jc w:val="left"/>
        <w:rPr/>
      </w:pPr>
      <w:r>
        <w:rPr/>
        <w:t>Jess Nieukerk</w:t>
        <w:br/>
        <w:t>Stantec Investor Relations</w:t>
        <w:br/>
        <w:t>Ph: 403-569-5389</w:t>
        <w:br/>
      </w:r>
      <w:r>
        <w:rPr>
          <w:u w:val="single"/>
        </w:rPr>
        <w:t>jess.nieukerk@stantec.com</w:t>
      </w:r>
    </w:p>
    <w:p>
      <w:pPr>
        <w:pStyle w:val="TextBody"/>
        <w:bidi w:val="0"/>
        <w:spacing w:before="0" w:after="283"/>
        <w:jc w:val="left"/>
        <w:rPr/>
      </w:pPr>
      <w:r>
        <w:rPr/>
        <w:t xml:space="preserve">To subscribe to Stantec’s email news alerts, please fill out the </w:t>
      </w:r>
      <w:r>
        <w:rPr>
          <w:u w:val="single"/>
        </w:rPr>
        <w:t>subscription form</w:t>
      </w:r>
      <w:r>
        <w:rPr/>
        <w:t xml:space="preserve">, which is also available on the Contact Information page of the Investors section at </w:t>
      </w:r>
      <w:r>
        <w:rPr>
          <w:u w:val="single"/>
        </w:rPr>
        <w:t>Stantec.com</w:t>
      </w:r>
      <w:r>
        <w:rPr/>
        <w:t>.</w:t>
      </w:r>
    </w:p>
    <w:p>
      <w:pPr>
        <w:pStyle w:val="TextBody"/>
        <w:bidi w:val="0"/>
        <w:jc w:val="center"/>
        <w:rPr/>
      </w:pPr>
      <w:r>
        <w:rPr>
          <w:rStyle w:val="StrongEmphasis"/>
        </w:rPr>
        <w:t>Design with community in mind</w:t>
      </w:r>
    </w:p>
    <w:p>
      <w:pPr>
        <w:pStyle w:val="TextBody"/>
        <w:bidi w:val="0"/>
        <w:jc w:val="center"/>
        <w:rPr/>
      </w:pPr>
      <w:r>
        <w:rPr>
          <w:rStyle w:val="Emphasis"/>
        </w:rPr>
        <w:t>Attached to this news release are Stantec’s reconciliation of non-IFRS financial measures.</w:t>
      </w:r>
    </w:p>
    <w:p>
      <w:pPr>
        <w:pStyle w:val="TextBody"/>
        <w:bidi w:val="0"/>
        <w:spacing w:before="0" w:after="283"/>
        <w:jc w:val="left"/>
        <w:rPr>
          <w:rStyle w:val="StrongEmphasis"/>
        </w:rPr>
      </w:pPr>
      <w:r>
        <w:rPr/>
      </w:r>
    </w:p>
    <w:p>
      <w:pPr>
        <w:pStyle w:val="TextBody"/>
        <w:bidi w:val="0"/>
        <w:spacing w:before="0" w:after="283"/>
        <w:jc w:val="left"/>
        <w:rPr/>
      </w:pPr>
      <w:r>
        <w:rPr>
          <w:rStyle w:val="StrongEmphasis"/>
        </w:rPr>
        <w:t>Reconciliation of Non-IFRS Financial Measures</w:t>
      </w:r>
    </w:p>
    <w:tbl>
      <w:tblPr>
        <w:tblW w:w="8205" w:type="dxa"/>
        <w:jc w:val="left"/>
        <w:tblInd w:w="0" w:type="dxa"/>
        <w:tblLayout w:type="fixed"/>
        <w:tblCellMar>
          <w:top w:w="28" w:type="dxa"/>
          <w:left w:w="28" w:type="dxa"/>
          <w:bottom w:w="28" w:type="dxa"/>
          <w:right w:w="28" w:type="dxa"/>
        </w:tblCellMar>
      </w:tblPr>
      <w:tblGrid>
        <w:gridCol w:w="5791"/>
        <w:gridCol w:w="918"/>
        <w:gridCol w:w="257"/>
        <w:gridCol w:w="918"/>
        <w:gridCol w:w="321"/>
      </w:tblGrid>
      <w:tr>
        <w:trPr/>
        <w:tc>
          <w:tcPr>
            <w:tcW w:w="5791" w:type="dxa"/>
            <w:tcBorders/>
            <w:vAlign w:val="center"/>
          </w:tcPr>
          <w:p>
            <w:pPr>
              <w:pStyle w:val="TableContents"/>
              <w:bidi w:val="0"/>
              <w:spacing w:before="0" w:after="283"/>
              <w:jc w:val="left"/>
              <w:rPr/>
            </w:pPr>
            <w:r>
              <w:rPr/>
              <w:t> </w:t>
            </w:r>
          </w:p>
        </w:tc>
        <w:tc>
          <w:tcPr>
            <w:tcW w:w="2414" w:type="dxa"/>
            <w:gridSpan w:val="4"/>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For the quarter ended</w:t>
            </w:r>
            <w:r>
              <w:rPr/>
              <w:br/>
            </w:r>
            <w:r>
              <w:rPr>
                <w:rStyle w:val="StrongEmphasis"/>
              </w:rPr>
              <w:t>June 30,</w:t>
            </w:r>
          </w:p>
        </w:tc>
      </w:tr>
      <w:tr>
        <w:trPr/>
        <w:tc>
          <w:tcPr>
            <w:tcW w:w="57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Style w:val="Emphasis"/>
              </w:rPr>
              <w:t>(In millions of Canadian dollars, except per share amounts)</w:t>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2026</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2025</w:t>
            </w:r>
          </w:p>
        </w:tc>
        <w:tc>
          <w:tcPr>
            <w:tcW w:w="32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579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rStyle w:val="StrongEmphasis"/>
              </w:rPr>
              <w:t>Net income</w:t>
            </w:r>
          </w:p>
        </w:tc>
        <w:tc>
          <w:tcPr>
            <w:tcW w:w="91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150.3</w:t>
            </w:r>
          </w:p>
        </w:tc>
        <w:tc>
          <w:tcPr>
            <w:tcW w:w="25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1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135.4</w:t>
            </w:r>
          </w:p>
        </w:tc>
        <w:tc>
          <w:tcPr>
            <w:tcW w:w="32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5791" w:type="dxa"/>
            <w:tcBorders/>
            <w:vAlign w:val="center"/>
          </w:tcPr>
          <w:p>
            <w:pPr>
              <w:pStyle w:val="TableContents"/>
              <w:bidi w:val="0"/>
              <w:spacing w:before="0" w:after="283"/>
              <w:jc w:val="left"/>
              <w:rPr/>
            </w:pPr>
            <w:r>
              <w:rPr/>
              <w:t>Add back:</w:t>
            </w:r>
          </w:p>
        </w:tc>
        <w:tc>
          <w:tcPr>
            <w:tcW w:w="1175" w:type="dxa"/>
            <w:gridSpan w:val="2"/>
            <w:tcBorders/>
            <w:vAlign w:val="center"/>
          </w:tcPr>
          <w:p>
            <w:pPr>
              <w:pStyle w:val="TableContents"/>
              <w:bidi w:val="0"/>
              <w:spacing w:before="0" w:after="283"/>
              <w:jc w:val="left"/>
              <w:rPr/>
            </w:pPr>
            <w:r>
              <w:rPr/>
              <w:t> </w:t>
            </w:r>
          </w:p>
        </w:tc>
        <w:tc>
          <w:tcPr>
            <w:tcW w:w="1239" w:type="dxa"/>
            <w:gridSpan w:val="2"/>
            <w:tcBorders/>
            <w:vAlign w:val="center"/>
          </w:tcPr>
          <w:p>
            <w:pPr>
              <w:pStyle w:val="TableContents"/>
              <w:bidi w:val="0"/>
              <w:spacing w:before="0" w:after="283"/>
              <w:jc w:val="left"/>
              <w:rPr/>
            </w:pPr>
            <w:r>
              <w:rPr/>
              <w:t> </w:t>
            </w:r>
          </w:p>
        </w:tc>
      </w:tr>
      <w:tr>
        <w:trPr/>
        <w:tc>
          <w:tcPr>
            <w:tcW w:w="5791" w:type="dxa"/>
            <w:tcBorders/>
            <w:tcMar>
              <w:top w:w="0" w:type="dxa"/>
              <w:left w:w="0" w:type="dxa"/>
              <w:bottom w:w="0" w:type="dxa"/>
              <w:right w:w="0" w:type="dxa"/>
            </w:tcMar>
            <w:vAlign w:val="center"/>
          </w:tcPr>
          <w:p>
            <w:pPr>
              <w:pStyle w:val="TableContents"/>
              <w:bidi w:val="0"/>
              <w:spacing w:before="0" w:after="283"/>
              <w:jc w:val="left"/>
              <w:rPr/>
            </w:pPr>
            <w:r>
              <w:rPr/>
              <w:t>Income taxes</w:t>
            </w:r>
          </w:p>
        </w:tc>
        <w:tc>
          <w:tcPr>
            <w:tcW w:w="918" w:type="dxa"/>
            <w:tcBorders/>
            <w:vAlign w:val="center"/>
          </w:tcPr>
          <w:p>
            <w:pPr>
              <w:pStyle w:val="TableContents"/>
              <w:bidi w:val="0"/>
              <w:spacing w:before="0" w:after="283"/>
              <w:jc w:val="right"/>
              <w:rPr/>
            </w:pPr>
            <w:r>
              <w:rPr/>
              <w:t>49.8</w:t>
            </w:r>
          </w:p>
        </w:tc>
        <w:tc>
          <w:tcPr>
            <w:tcW w:w="257"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43.7</w:t>
            </w:r>
          </w:p>
        </w:tc>
        <w:tc>
          <w:tcPr>
            <w:tcW w:w="321" w:type="dxa"/>
            <w:tcBorders/>
            <w:vAlign w:val="center"/>
          </w:tcPr>
          <w:p>
            <w:pPr>
              <w:pStyle w:val="TableContents"/>
              <w:bidi w:val="0"/>
              <w:spacing w:before="0" w:after="283"/>
              <w:jc w:val="left"/>
              <w:rPr/>
            </w:pPr>
            <w:r>
              <w:rPr/>
              <w:t> </w:t>
            </w:r>
          </w:p>
        </w:tc>
      </w:tr>
      <w:tr>
        <w:trPr/>
        <w:tc>
          <w:tcPr>
            <w:tcW w:w="5791" w:type="dxa"/>
            <w:tcBorders/>
            <w:tcMar>
              <w:top w:w="0" w:type="dxa"/>
              <w:left w:w="0" w:type="dxa"/>
              <w:bottom w:w="0" w:type="dxa"/>
              <w:right w:w="0" w:type="dxa"/>
            </w:tcMar>
            <w:vAlign w:val="center"/>
          </w:tcPr>
          <w:p>
            <w:pPr>
              <w:pStyle w:val="TableContents"/>
              <w:bidi w:val="0"/>
              <w:spacing w:before="0" w:after="283"/>
              <w:jc w:val="left"/>
              <w:rPr/>
            </w:pPr>
            <w:r>
              <w:rPr/>
              <w:t>Net interest expense</w:t>
            </w:r>
          </w:p>
        </w:tc>
        <w:tc>
          <w:tcPr>
            <w:tcW w:w="918" w:type="dxa"/>
            <w:tcBorders/>
            <w:vAlign w:val="center"/>
          </w:tcPr>
          <w:p>
            <w:pPr>
              <w:pStyle w:val="TableContents"/>
              <w:bidi w:val="0"/>
              <w:spacing w:before="0" w:after="283"/>
              <w:jc w:val="right"/>
              <w:rPr/>
            </w:pPr>
            <w:r>
              <w:rPr/>
              <w:t>26.5</w:t>
            </w:r>
          </w:p>
        </w:tc>
        <w:tc>
          <w:tcPr>
            <w:tcW w:w="257"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20.7</w:t>
            </w:r>
          </w:p>
        </w:tc>
        <w:tc>
          <w:tcPr>
            <w:tcW w:w="321" w:type="dxa"/>
            <w:tcBorders/>
            <w:vAlign w:val="center"/>
          </w:tcPr>
          <w:p>
            <w:pPr>
              <w:pStyle w:val="TableContents"/>
              <w:bidi w:val="0"/>
              <w:spacing w:before="0" w:after="283"/>
              <w:jc w:val="left"/>
              <w:rPr/>
            </w:pPr>
            <w:r>
              <w:rPr/>
              <w:t> </w:t>
            </w:r>
          </w:p>
        </w:tc>
      </w:tr>
      <w:tr>
        <w:trPr/>
        <w:tc>
          <w:tcPr>
            <w:tcW w:w="5791" w:type="dxa"/>
            <w:tcBorders/>
            <w:tcMar>
              <w:top w:w="0" w:type="dxa"/>
              <w:left w:w="0" w:type="dxa"/>
              <w:bottom w:w="0" w:type="dxa"/>
              <w:right w:w="0" w:type="dxa"/>
            </w:tcMar>
            <w:vAlign w:val="center"/>
          </w:tcPr>
          <w:p>
            <w:pPr>
              <w:pStyle w:val="TableContents"/>
              <w:bidi w:val="0"/>
              <w:spacing w:before="0" w:after="283"/>
              <w:jc w:val="left"/>
              <w:rPr/>
            </w:pPr>
            <w:r>
              <w:rPr/>
              <w:t>Net impairment of lease assets (note 1)</w:t>
            </w:r>
          </w:p>
        </w:tc>
        <w:tc>
          <w:tcPr>
            <w:tcW w:w="918" w:type="dxa"/>
            <w:tcBorders/>
            <w:vAlign w:val="center"/>
          </w:tcPr>
          <w:p>
            <w:pPr>
              <w:pStyle w:val="TableContents"/>
              <w:bidi w:val="0"/>
              <w:spacing w:before="0" w:after="283"/>
              <w:jc w:val="right"/>
              <w:rPr/>
            </w:pPr>
            <w:r>
              <w:rPr/>
              <w:t>10.1</w:t>
            </w:r>
          </w:p>
        </w:tc>
        <w:tc>
          <w:tcPr>
            <w:tcW w:w="257"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0.1</w:t>
            </w:r>
          </w:p>
        </w:tc>
        <w:tc>
          <w:tcPr>
            <w:tcW w:w="321" w:type="dxa"/>
            <w:tcBorders/>
            <w:vAlign w:val="center"/>
          </w:tcPr>
          <w:p>
            <w:pPr>
              <w:pStyle w:val="TableContents"/>
              <w:bidi w:val="0"/>
              <w:spacing w:before="0" w:after="283"/>
              <w:jc w:val="left"/>
              <w:rPr/>
            </w:pPr>
            <w:r>
              <w:rPr/>
              <w:t> </w:t>
            </w:r>
          </w:p>
        </w:tc>
      </w:tr>
      <w:tr>
        <w:trPr/>
        <w:tc>
          <w:tcPr>
            <w:tcW w:w="5791" w:type="dxa"/>
            <w:tcBorders/>
            <w:tcMar>
              <w:top w:w="0" w:type="dxa"/>
              <w:left w:w="0" w:type="dxa"/>
              <w:bottom w:w="0" w:type="dxa"/>
              <w:right w:w="0" w:type="dxa"/>
            </w:tcMar>
            <w:vAlign w:val="center"/>
          </w:tcPr>
          <w:p>
            <w:pPr>
              <w:pStyle w:val="TableContents"/>
              <w:bidi w:val="0"/>
              <w:spacing w:before="0" w:after="283"/>
              <w:jc w:val="left"/>
              <w:rPr/>
            </w:pPr>
            <w:r>
              <w:rPr/>
              <w:t>Depreciation and amortization</w:t>
            </w:r>
          </w:p>
        </w:tc>
        <w:tc>
          <w:tcPr>
            <w:tcW w:w="918" w:type="dxa"/>
            <w:tcBorders/>
            <w:vAlign w:val="center"/>
          </w:tcPr>
          <w:p>
            <w:pPr>
              <w:pStyle w:val="TableContents"/>
              <w:bidi w:val="0"/>
              <w:spacing w:before="0" w:after="283"/>
              <w:jc w:val="right"/>
              <w:rPr/>
            </w:pPr>
            <w:r>
              <w:rPr/>
              <w:t>93.7</w:t>
            </w:r>
          </w:p>
        </w:tc>
        <w:tc>
          <w:tcPr>
            <w:tcW w:w="257"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79.7</w:t>
            </w:r>
          </w:p>
        </w:tc>
        <w:tc>
          <w:tcPr>
            <w:tcW w:w="321" w:type="dxa"/>
            <w:tcBorders/>
            <w:vAlign w:val="center"/>
          </w:tcPr>
          <w:p>
            <w:pPr>
              <w:pStyle w:val="TableContents"/>
              <w:bidi w:val="0"/>
              <w:spacing w:before="0" w:after="283"/>
              <w:jc w:val="left"/>
              <w:rPr/>
            </w:pPr>
            <w:r>
              <w:rPr/>
              <w:t> </w:t>
            </w:r>
          </w:p>
        </w:tc>
      </w:tr>
      <w:tr>
        <w:trPr/>
        <w:tc>
          <w:tcPr>
            <w:tcW w:w="5791" w:type="dxa"/>
            <w:tcBorders/>
            <w:tcMar>
              <w:top w:w="0" w:type="dxa"/>
              <w:left w:w="0" w:type="dxa"/>
              <w:bottom w:w="0" w:type="dxa"/>
              <w:right w:w="0" w:type="dxa"/>
            </w:tcMar>
            <w:vAlign w:val="center"/>
          </w:tcPr>
          <w:p>
            <w:pPr>
              <w:pStyle w:val="TableContents"/>
              <w:bidi w:val="0"/>
              <w:spacing w:before="0" w:after="283"/>
              <w:jc w:val="left"/>
              <w:rPr/>
            </w:pPr>
            <w:r>
              <w:rPr/>
              <w:t>Unrealized (gain) loss on equity securities</w:t>
            </w:r>
          </w:p>
        </w:tc>
        <w:tc>
          <w:tcPr>
            <w:tcW w:w="918" w:type="dxa"/>
            <w:tcBorders/>
            <w:vAlign w:val="center"/>
          </w:tcPr>
          <w:p>
            <w:pPr>
              <w:pStyle w:val="TableContents"/>
              <w:bidi w:val="0"/>
              <w:spacing w:before="0" w:after="283"/>
              <w:jc w:val="right"/>
              <w:rPr/>
            </w:pPr>
            <w:r>
              <w:rPr/>
              <w:t>(9.8</w:t>
            </w:r>
          </w:p>
        </w:tc>
        <w:tc>
          <w:tcPr>
            <w:tcW w:w="257" w:type="dxa"/>
            <w:tcBorders/>
            <w:vAlign w:val="center"/>
          </w:tcPr>
          <w:p>
            <w:pPr>
              <w:pStyle w:val="TableContents"/>
              <w:bidi w:val="0"/>
              <w:spacing w:before="0" w:after="283"/>
              <w:jc w:val="left"/>
              <w:rPr/>
            </w:pPr>
            <w:r>
              <w:rPr/>
              <w:t>)</w:t>
            </w:r>
          </w:p>
        </w:tc>
        <w:tc>
          <w:tcPr>
            <w:tcW w:w="918" w:type="dxa"/>
            <w:tcBorders/>
            <w:vAlign w:val="center"/>
          </w:tcPr>
          <w:p>
            <w:pPr>
              <w:pStyle w:val="TableContents"/>
              <w:bidi w:val="0"/>
              <w:spacing w:before="0" w:after="283"/>
              <w:jc w:val="right"/>
              <w:rPr/>
            </w:pPr>
            <w:r>
              <w:rPr/>
              <w:t>(7.9</w:t>
            </w:r>
          </w:p>
        </w:tc>
        <w:tc>
          <w:tcPr>
            <w:tcW w:w="321" w:type="dxa"/>
            <w:tcBorders/>
            <w:vAlign w:val="center"/>
          </w:tcPr>
          <w:p>
            <w:pPr>
              <w:pStyle w:val="TableContents"/>
              <w:bidi w:val="0"/>
              <w:spacing w:before="0" w:after="283"/>
              <w:jc w:val="left"/>
              <w:rPr/>
            </w:pPr>
            <w:r>
              <w:rPr/>
              <w:t>)</w:t>
            </w:r>
          </w:p>
        </w:tc>
      </w:tr>
      <w:tr>
        <w:trPr/>
        <w:tc>
          <w:tcPr>
            <w:tcW w:w="57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Acquisition, integration, and restructuring costs (note 4)</w:t>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12.3</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12.7</w:t>
            </w:r>
          </w:p>
        </w:tc>
        <w:tc>
          <w:tcPr>
            <w:tcW w:w="32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7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Adjusted EBITDA</w:t>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332.9</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284.4</w:t>
            </w:r>
          </w:p>
        </w:tc>
        <w:tc>
          <w:tcPr>
            <w:tcW w:w="32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r>
    </w:p>
    <w:tbl>
      <w:tblPr>
        <w:tblW w:w="9125" w:type="dxa"/>
        <w:jc w:val="left"/>
        <w:tblInd w:w="0" w:type="dxa"/>
        <w:tblLayout w:type="fixed"/>
        <w:tblCellMar>
          <w:top w:w="28" w:type="dxa"/>
          <w:left w:w="28" w:type="dxa"/>
          <w:bottom w:w="28" w:type="dxa"/>
          <w:right w:w="28" w:type="dxa"/>
        </w:tblCellMar>
      </w:tblPr>
      <w:tblGrid>
        <w:gridCol w:w="6106"/>
        <w:gridCol w:w="1306"/>
        <w:gridCol w:w="181"/>
        <w:gridCol w:w="1306"/>
        <w:gridCol w:w="226"/>
      </w:tblGrid>
      <w:tr>
        <w:trPr/>
        <w:tc>
          <w:tcPr>
            <w:tcW w:w="6106" w:type="dxa"/>
            <w:tcBorders/>
            <w:vAlign w:val="center"/>
          </w:tcPr>
          <w:p>
            <w:pPr>
              <w:pStyle w:val="TableContents"/>
              <w:bidi w:val="0"/>
              <w:spacing w:before="0" w:after="283"/>
              <w:jc w:val="left"/>
              <w:rPr/>
            </w:pPr>
            <w:r>
              <w:rPr/>
              <w:t> </w:t>
            </w:r>
          </w:p>
        </w:tc>
        <w:tc>
          <w:tcPr>
            <w:tcW w:w="3019" w:type="dxa"/>
            <w:gridSpan w:val="4"/>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For the quarter ended</w:t>
            </w:r>
            <w:r>
              <w:rPr/>
              <w:br/>
            </w:r>
            <w:r>
              <w:rPr>
                <w:rStyle w:val="StrongEmphasis"/>
              </w:rPr>
              <w:t>June 30,</w:t>
            </w:r>
          </w:p>
        </w:tc>
      </w:tr>
      <w:tr>
        <w:trPr/>
        <w:tc>
          <w:tcPr>
            <w:tcW w:w="610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Style w:val="Emphasis"/>
              </w:rPr>
              <w:t>(In millions of Canadian dollars, except per share amounts)</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2026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2025</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610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rStyle w:val="StrongEmphasis"/>
              </w:rPr>
              <w:t>Net income</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150.3</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135.4</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106" w:type="dxa"/>
            <w:tcBorders/>
            <w:vAlign w:val="center"/>
          </w:tcPr>
          <w:p>
            <w:pPr>
              <w:pStyle w:val="TableContents"/>
              <w:bidi w:val="0"/>
              <w:spacing w:before="0" w:after="283"/>
              <w:jc w:val="left"/>
              <w:rPr/>
            </w:pPr>
            <w:r>
              <w:rPr>
                <w:rStyle w:val="StrongEmphasis"/>
              </w:rPr>
              <w:t>Add back after tax:</w:t>
            </w:r>
          </w:p>
        </w:tc>
        <w:tc>
          <w:tcPr>
            <w:tcW w:w="1487" w:type="dxa"/>
            <w:gridSpan w:val="2"/>
            <w:tcBorders/>
            <w:vAlign w:val="center"/>
          </w:tcPr>
          <w:p>
            <w:pPr>
              <w:pStyle w:val="TableContents"/>
              <w:bidi w:val="0"/>
              <w:spacing w:before="0" w:after="283"/>
              <w:jc w:val="left"/>
              <w:rPr/>
            </w:pPr>
            <w:r>
              <w:rPr/>
              <w:t> </w:t>
            </w:r>
          </w:p>
        </w:tc>
        <w:tc>
          <w:tcPr>
            <w:tcW w:w="1532" w:type="dxa"/>
            <w:gridSpan w:val="2"/>
            <w:tcBorders/>
            <w:vAlign w:val="center"/>
          </w:tcPr>
          <w:p>
            <w:pPr>
              <w:pStyle w:val="TableContents"/>
              <w:bidi w:val="0"/>
              <w:spacing w:before="0" w:after="283"/>
              <w:jc w:val="left"/>
              <w:rPr/>
            </w:pPr>
            <w:r>
              <w:rPr/>
              <w:t> </w:t>
            </w:r>
          </w:p>
        </w:tc>
      </w:tr>
      <w:tr>
        <w:trPr/>
        <w:tc>
          <w:tcPr>
            <w:tcW w:w="6106" w:type="dxa"/>
            <w:tcBorders/>
            <w:tcMar>
              <w:top w:w="0" w:type="dxa"/>
              <w:left w:w="0" w:type="dxa"/>
              <w:bottom w:w="0" w:type="dxa"/>
              <w:right w:w="0" w:type="dxa"/>
            </w:tcMar>
            <w:vAlign w:val="center"/>
          </w:tcPr>
          <w:p>
            <w:pPr>
              <w:pStyle w:val="TableContents"/>
              <w:bidi w:val="0"/>
              <w:spacing w:before="0" w:after="283"/>
              <w:jc w:val="left"/>
              <w:rPr/>
            </w:pPr>
            <w:r>
              <w:rPr/>
              <w:t>Net impairment of lease assets (note 1)</w:t>
            </w:r>
          </w:p>
        </w:tc>
        <w:tc>
          <w:tcPr>
            <w:tcW w:w="1306" w:type="dxa"/>
            <w:tcBorders/>
            <w:vAlign w:val="center"/>
          </w:tcPr>
          <w:p>
            <w:pPr>
              <w:pStyle w:val="TableContents"/>
              <w:bidi w:val="0"/>
              <w:spacing w:before="0" w:after="283"/>
              <w:jc w:val="right"/>
              <w:rPr/>
            </w:pPr>
            <w:r>
              <w:rPr/>
              <w:t>7.6</w:t>
            </w:r>
          </w:p>
        </w:tc>
        <w:tc>
          <w:tcPr>
            <w:tcW w:w="181"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0.1</w:t>
            </w:r>
          </w:p>
        </w:tc>
        <w:tc>
          <w:tcPr>
            <w:tcW w:w="226" w:type="dxa"/>
            <w:tcBorders/>
            <w:vAlign w:val="center"/>
          </w:tcPr>
          <w:p>
            <w:pPr>
              <w:pStyle w:val="TableContents"/>
              <w:bidi w:val="0"/>
              <w:spacing w:before="0" w:after="283"/>
              <w:jc w:val="left"/>
              <w:rPr/>
            </w:pPr>
            <w:r>
              <w:rPr/>
              <w:t> </w:t>
            </w:r>
          </w:p>
        </w:tc>
      </w:tr>
      <w:tr>
        <w:trPr/>
        <w:tc>
          <w:tcPr>
            <w:tcW w:w="6106" w:type="dxa"/>
            <w:tcBorders/>
            <w:tcMar>
              <w:top w:w="0" w:type="dxa"/>
              <w:left w:w="0" w:type="dxa"/>
              <w:bottom w:w="0" w:type="dxa"/>
              <w:right w:w="0" w:type="dxa"/>
            </w:tcMar>
            <w:vAlign w:val="center"/>
          </w:tcPr>
          <w:p>
            <w:pPr>
              <w:pStyle w:val="TableContents"/>
              <w:bidi w:val="0"/>
              <w:spacing w:before="0" w:after="283"/>
              <w:jc w:val="left"/>
              <w:rPr/>
            </w:pPr>
            <w:r>
              <w:rPr/>
              <w:t>Amortization of intangible assets related to acquisitions (note 2)</w:t>
            </w:r>
          </w:p>
        </w:tc>
        <w:tc>
          <w:tcPr>
            <w:tcW w:w="1306" w:type="dxa"/>
            <w:tcBorders/>
            <w:vAlign w:val="center"/>
          </w:tcPr>
          <w:p>
            <w:pPr>
              <w:pStyle w:val="TableContents"/>
              <w:bidi w:val="0"/>
              <w:spacing w:before="0" w:after="283"/>
              <w:jc w:val="right"/>
              <w:rPr/>
            </w:pPr>
            <w:r>
              <w:rPr/>
              <w:t>22.7</w:t>
            </w:r>
          </w:p>
        </w:tc>
        <w:tc>
          <w:tcPr>
            <w:tcW w:w="181"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15.7</w:t>
            </w:r>
          </w:p>
        </w:tc>
        <w:tc>
          <w:tcPr>
            <w:tcW w:w="226" w:type="dxa"/>
            <w:tcBorders/>
            <w:vAlign w:val="center"/>
          </w:tcPr>
          <w:p>
            <w:pPr>
              <w:pStyle w:val="TableContents"/>
              <w:bidi w:val="0"/>
              <w:spacing w:before="0" w:after="283"/>
              <w:jc w:val="left"/>
              <w:rPr/>
            </w:pPr>
            <w:r>
              <w:rPr/>
              <w:t> </w:t>
            </w:r>
          </w:p>
        </w:tc>
      </w:tr>
      <w:tr>
        <w:trPr/>
        <w:tc>
          <w:tcPr>
            <w:tcW w:w="6106" w:type="dxa"/>
            <w:tcBorders/>
            <w:tcMar>
              <w:top w:w="0" w:type="dxa"/>
              <w:left w:w="0" w:type="dxa"/>
              <w:bottom w:w="0" w:type="dxa"/>
              <w:right w:w="0" w:type="dxa"/>
            </w:tcMar>
            <w:vAlign w:val="center"/>
          </w:tcPr>
          <w:p>
            <w:pPr>
              <w:pStyle w:val="TableContents"/>
              <w:bidi w:val="0"/>
              <w:spacing w:before="0" w:after="283"/>
              <w:jc w:val="left"/>
              <w:rPr/>
            </w:pPr>
            <w:r>
              <w:rPr/>
              <w:t>Unrealized (gain) loss on equity securities (note 3)</w:t>
            </w:r>
          </w:p>
        </w:tc>
        <w:tc>
          <w:tcPr>
            <w:tcW w:w="1306" w:type="dxa"/>
            <w:tcBorders/>
            <w:vAlign w:val="center"/>
          </w:tcPr>
          <w:p>
            <w:pPr>
              <w:pStyle w:val="TableContents"/>
              <w:bidi w:val="0"/>
              <w:spacing w:before="0" w:after="283"/>
              <w:jc w:val="right"/>
              <w:rPr/>
            </w:pPr>
            <w:r>
              <w:rPr/>
              <w:t>(7.4</w:t>
            </w:r>
          </w:p>
        </w:tc>
        <w:tc>
          <w:tcPr>
            <w:tcW w:w="181"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283"/>
              <w:jc w:val="right"/>
              <w:rPr/>
            </w:pPr>
            <w:r>
              <w:rPr/>
              <w:t>(6.1</w:t>
            </w:r>
          </w:p>
        </w:tc>
        <w:tc>
          <w:tcPr>
            <w:tcW w:w="226" w:type="dxa"/>
            <w:tcBorders/>
            <w:vAlign w:val="center"/>
          </w:tcPr>
          <w:p>
            <w:pPr>
              <w:pStyle w:val="TableContents"/>
              <w:bidi w:val="0"/>
              <w:spacing w:before="0" w:after="283"/>
              <w:jc w:val="left"/>
              <w:rPr/>
            </w:pPr>
            <w:r>
              <w:rPr/>
              <w:t>)</w:t>
            </w:r>
          </w:p>
        </w:tc>
      </w:tr>
      <w:tr>
        <w:trPr/>
        <w:tc>
          <w:tcPr>
            <w:tcW w:w="610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Acquisition, integration, and restructuring costs (note 4)</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9.6</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1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Adjusted net income</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182.5</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154.7</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610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Weighted average number of shares outstanding - diluted</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113,560,104</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114,066,995</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10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Style w:val="StrongEmphasis"/>
              </w:rPr>
              <w:t>Adjusted earnings per share</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1.61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1.36</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t>See the Definitions section for our discussion of non-IFRS and other financial measures used and additional reconciliations of non-IFRS financial measures.</w:t>
      </w:r>
    </w:p>
    <w:p>
      <w:pPr>
        <w:pStyle w:val="TextBody"/>
        <w:bidi w:val="0"/>
        <w:spacing w:before="0" w:after="283"/>
        <w:jc w:val="left"/>
        <w:rPr/>
      </w:pPr>
      <w:r>
        <w:rPr/>
        <w:t>note 1: The net impairment of lease assets includes onerous contract provisions related to the lease agreements associated with underutilized office space for the quarter ended June 30, 2026 of $(2.8) (2025 - $0.9) and for the two quarters ended June 30, 2026 of $(2.4) (2025 -$0.9). For the quarter ended June 30, 2026, this amount is net of tax of $2.5 (2025 - nil). For the two quarters ended June 30, 2026, this amount is net of tax of $2.5 (2025 - nil).</w:t>
      </w:r>
    </w:p>
    <w:p>
      <w:pPr>
        <w:pStyle w:val="TextBody"/>
        <w:bidi w:val="0"/>
        <w:spacing w:before="0" w:after="283"/>
        <w:jc w:val="left"/>
        <w:rPr/>
      </w:pPr>
      <w:r>
        <w:rPr/>
        <w:t>note 2: The add back of intangible amortization relates only to the amortization from intangible assets acquired through acquisitions and excludes the amortization of software purchased by Stantec. For the quarter ended June 30, 2026, this amount is net of tax of $7.6 (2025 - $5.1). For the two quarters ended June 30, 2026, this amount is net of tax of $15.6 (2025 -$9.6).</w:t>
      </w:r>
    </w:p>
    <w:p>
      <w:pPr>
        <w:pStyle w:val="TextBody"/>
        <w:bidi w:val="0"/>
        <w:spacing w:before="0" w:after="283"/>
        <w:jc w:val="left"/>
        <w:rPr/>
      </w:pPr>
      <w:r>
        <w:rPr/>
        <w:t>note 3: For the quarter ended June 30, 2026, this amount is net of tax of $(2.4) (2025 - $(1.8)) and for the two quarters ended June 30, 2026, this amount is net of tax of $(0.5) (2025 - $0.2).</w:t>
      </w:r>
    </w:p>
    <w:p>
      <w:pPr>
        <w:pStyle w:val="TextBody"/>
        <w:bidi w:val="0"/>
        <w:spacing w:before="0" w:after="283"/>
        <w:jc w:val="left"/>
        <w:rPr/>
      </w:pPr>
      <w:r>
        <w:rPr/>
        <w:t>note 4: The add back of certain administrative and marketing costs and depreciation primarily related to acquisition and integration expenses associated with our acquisitions and restructuring activities. For the quarter ended June 30, 2026, this amount is net of tax of $3.0 (2025 - $3.1) and for the two quarters ended June 30, 2026, this amount is net of tax of $6.3 (2025 - $6.3).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3616</Words>
  <Characters>19428</Characters>
  <CharactersWithSpaces>22831</CharactersWithSpaces>
  <Paragraphs>543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