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001-32562</w:t>
      </w:r>
    </w:p>
    <w:p>
      <w:pPr>
        <w:spacing w:after="0" w:line="20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STANTEC INC.</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300-10220 103 Avenue NW</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Edmonton, Alberta</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Canada T5J 0K4</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STANTEC INC.</w:t>
            </w:r>
          </w:p>
        </w:tc>
        <w:tc>
          <w:tcPr>
            <w:tcW w:w="1840" w:type="dxa"/>
            <w:vAlign w:val="bottom"/>
            <w:gridSpan w:val="2"/>
          </w:tcPr>
          <w:p>
            <w:pPr>
              <w:spacing w:after="0"/>
              <w:rPr>
                <w:sz w:val="17"/>
                <w:szCs w:val="17"/>
                <w:color w:val="auto"/>
              </w:rPr>
            </w:pPr>
          </w:p>
        </w:tc>
      </w:tr>
      <w:tr>
        <w:trPr>
          <w:trHeight w:val="237"/>
        </w:trPr>
        <w:tc>
          <w:tcPr>
            <w:tcW w:w="4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3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Vito Culmone</w:t>
            </w:r>
          </w:p>
        </w:tc>
        <w:tc>
          <w:tcPr>
            <w:tcW w:w="1820" w:type="dxa"/>
            <w:vAlign w:val="bottom"/>
          </w:tcPr>
          <w:p>
            <w:pPr>
              <w:spacing w:after="0"/>
              <w:rPr>
                <w:sz w:val="24"/>
                <w:szCs w:val="24"/>
                <w:color w:val="auto"/>
              </w:rPr>
            </w:pPr>
          </w:p>
        </w:tc>
      </w:tr>
      <w:tr>
        <w:trPr>
          <w:trHeight w:val="218"/>
        </w:trPr>
        <w:tc>
          <w:tcPr>
            <w:tcW w:w="4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7"/>
              </w:rPr>
              <w:t>Vito Culmone</w:t>
            </w:r>
          </w:p>
        </w:tc>
      </w:tr>
      <w:tr>
        <w:trPr>
          <w:trHeight w:val="234"/>
        </w:trPr>
        <w:tc>
          <w:tcPr>
            <w:tcW w:w="4400" w:type="dxa"/>
            <w:vAlign w:val="bottom"/>
          </w:tcPr>
          <w:p>
            <w:pPr>
              <w:spacing w:after="0"/>
              <w:rPr>
                <w:sz w:val="20"/>
                <w:szCs w:val="20"/>
                <w:color w:val="auto"/>
              </w:rPr>
            </w:pPr>
          </w:p>
        </w:tc>
        <w:tc>
          <w:tcPr>
            <w:tcW w:w="6840" w:type="dxa"/>
            <w:vAlign w:val="bottom"/>
            <w:gridSpan w:val="5"/>
          </w:tcPr>
          <w:p>
            <w:pPr>
              <w:jc w:val="center"/>
              <w:ind w:left="1470"/>
              <w:spacing w:after="0"/>
              <w:rPr>
                <w:sz w:val="20"/>
                <w:szCs w:val="20"/>
                <w:color w:val="auto"/>
              </w:rPr>
            </w:pPr>
            <w:r>
              <w:rPr>
                <w:rFonts w:ascii="Times New Roman" w:cs="Times New Roman" w:eastAsia="Times New Roman" w:hAnsi="Times New Roman"/>
                <w:sz w:val="18"/>
                <w:szCs w:val="18"/>
                <w:color w:val="auto"/>
                <w:w w:val="99"/>
              </w:rPr>
              <w:t>Executive Vice President and CFO</w:t>
            </w:r>
          </w:p>
        </w:tc>
      </w:tr>
      <w:tr>
        <w:trPr>
          <w:trHeight w:val="442"/>
        </w:trPr>
        <w:tc>
          <w:tcPr>
            <w:tcW w:w="440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EE"/>
                <w:w w:val="98"/>
              </w:rPr>
              <w:t>Press Release dated May 14,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r>
    </w:tbl>
    <w:p>
      <w:pPr>
        <w:sectPr>
          <w:pgSz w:w="11900" w:h="16838" w:orient="portrait"/>
          <w:cols w:equalWidth="0" w:num="1">
            <w:col w:w="10139"/>
          </w:cols>
          <w:pgMar w:left="320" w:top="33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5"/>
          <w:szCs w:val="25"/>
          <w:b w:val="1"/>
          <w:bCs w:val="1"/>
          <w:color w:val="auto"/>
        </w:rPr>
        <w:t>Stantec announces results of its 2026 Annual Meeting of Shareholders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EDMONTON, Alberta and NEW YORK, May 14, 2026 (GLOBE NEWSWIRE) -- </w:t>
      </w:r>
      <w:r>
        <w:rPr>
          <w:rFonts w:ascii="Times New Roman" w:cs="Times New Roman" w:eastAsia="Times New Roman" w:hAnsi="Times New Roman"/>
          <w:sz w:val="22"/>
          <w:szCs w:val="22"/>
          <w:b w:val="1"/>
          <w:bCs w:val="1"/>
          <w:color w:val="auto"/>
        </w:rPr>
        <w:t>TSX, NYSE: STN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Stantec Inc. (“Stantec”), a global leader in sustainable design and engineering, held its annual meeting of shareholders (the “Meeting”) on May 14, 2026. A total of 83,408,932 shares (73.12% of outstanding common shares) were represented in person or by proxy.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complete voting results from the Meeting are as follows: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Election of Directors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Board of Directors of Stantec set the number of directors standing for election at the Meeting at nine. Each of the nine nominees listed in Stantec’s Management Information Circular dated March 19, 2026, was elected as a director of Stantec. The detailed results of the vote on the election of directors are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1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Nominee</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Votes For</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 For</w:t>
            </w:r>
          </w:p>
        </w:tc>
        <w:tc>
          <w:tcPr>
            <w:tcW w:w="20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Votes Against</w:t>
            </w:r>
          </w:p>
        </w:tc>
        <w:tc>
          <w:tcPr>
            <w:tcW w:w="2000" w:type="dxa"/>
            <w:vAlign w:val="bottom"/>
            <w:tcBorders>
              <w:top w:val="single" w:sz="8" w:color="auto"/>
              <w:bottom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 Against</w:t>
            </w:r>
          </w:p>
        </w:tc>
      </w:tr>
      <w:tr>
        <w:trPr>
          <w:trHeight w:val="263"/>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Douglas K. Ammerman</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71,548,823</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89.93</w:t>
            </w:r>
          </w:p>
        </w:tc>
        <w:tc>
          <w:tcPr>
            <w:tcW w:w="2020" w:type="dxa"/>
            <w:vAlign w:val="bottom"/>
            <w:tcBorders>
              <w:bottom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8,010,915</w:t>
            </w:r>
          </w:p>
        </w:tc>
        <w:tc>
          <w:tcPr>
            <w:tcW w:w="2000" w:type="dxa"/>
            <w:vAlign w:val="bottom"/>
            <w:tcBorders>
              <w:bottom w:val="single" w:sz="8" w:color="auto"/>
              <w:right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color w:val="auto"/>
              </w:rPr>
              <w:t>10.07</w:t>
            </w:r>
          </w:p>
        </w:tc>
      </w:tr>
      <w:tr>
        <w:trPr>
          <w:trHeight w:val="263"/>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Martin A. à Porta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78,956,577</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99.24</w:t>
            </w:r>
          </w:p>
        </w:tc>
        <w:tc>
          <w:tcPr>
            <w:tcW w:w="202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603,161</w:t>
            </w:r>
          </w:p>
        </w:tc>
        <w:tc>
          <w:tcPr>
            <w:tcW w:w="200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0.76</w:t>
            </w:r>
          </w:p>
        </w:tc>
      </w:tr>
      <w:tr>
        <w:trPr>
          <w:trHeight w:val="263"/>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Shelley A. M. Brown</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79,418,349</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99.82</w:t>
            </w:r>
          </w:p>
        </w:tc>
        <w:tc>
          <w:tcPr>
            <w:tcW w:w="202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141,389</w:t>
            </w:r>
          </w:p>
        </w:tc>
        <w:tc>
          <w:tcPr>
            <w:tcW w:w="200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0.18</w:t>
            </w:r>
          </w:p>
        </w:tc>
      </w:tr>
      <w:tr>
        <w:trPr>
          <w:trHeight w:val="264"/>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Angeline G. Chen</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79,093,790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99.41</w:t>
            </w:r>
          </w:p>
        </w:tc>
        <w:tc>
          <w:tcPr>
            <w:tcW w:w="202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465,948</w:t>
            </w:r>
          </w:p>
        </w:tc>
        <w:tc>
          <w:tcPr>
            <w:tcW w:w="200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0.59</w:t>
            </w:r>
          </w:p>
        </w:tc>
      </w:tr>
      <w:tr>
        <w:trPr>
          <w:trHeight w:val="263"/>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Richard A. Eng</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79,154,150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99.49</w:t>
            </w:r>
          </w:p>
        </w:tc>
        <w:tc>
          <w:tcPr>
            <w:tcW w:w="202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405,588</w:t>
            </w:r>
          </w:p>
        </w:tc>
        <w:tc>
          <w:tcPr>
            <w:tcW w:w="200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0.51</w:t>
            </w:r>
          </w:p>
        </w:tc>
      </w:tr>
      <w:tr>
        <w:trPr>
          <w:trHeight w:val="263"/>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Gordon A. Johnston</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79,434,155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99.84</w:t>
            </w:r>
          </w:p>
        </w:tc>
        <w:tc>
          <w:tcPr>
            <w:tcW w:w="202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125,583</w:t>
            </w:r>
          </w:p>
        </w:tc>
        <w:tc>
          <w:tcPr>
            <w:tcW w:w="200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0.16</w:t>
            </w:r>
          </w:p>
        </w:tc>
      </w:tr>
      <w:tr>
        <w:trPr>
          <w:trHeight w:val="263"/>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Christopher F. Lopez</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79,279,064</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99.65</w:t>
            </w:r>
          </w:p>
        </w:tc>
        <w:tc>
          <w:tcPr>
            <w:tcW w:w="202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280,674</w:t>
            </w:r>
          </w:p>
        </w:tc>
        <w:tc>
          <w:tcPr>
            <w:tcW w:w="200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0.35</w:t>
            </w:r>
          </w:p>
        </w:tc>
      </w:tr>
      <w:tr>
        <w:trPr>
          <w:trHeight w:val="264"/>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Marie-Lucie Morin</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75,821,325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95.30</w:t>
            </w:r>
          </w:p>
        </w:tc>
        <w:tc>
          <w:tcPr>
            <w:tcW w:w="202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3,738,415</w:t>
            </w:r>
          </w:p>
        </w:tc>
        <w:tc>
          <w:tcPr>
            <w:tcW w:w="200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4.70</w:t>
            </w:r>
          </w:p>
        </w:tc>
      </w:tr>
      <w:tr>
        <w:trPr>
          <w:trHeight w:val="263"/>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Celina J. Wang Doka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79,243,518</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99.60</w:t>
            </w:r>
          </w:p>
        </w:tc>
        <w:tc>
          <w:tcPr>
            <w:tcW w:w="202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316,220</w:t>
            </w:r>
          </w:p>
        </w:tc>
        <w:tc>
          <w:tcPr>
            <w:tcW w:w="200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0.40</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Appointment of Auditor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PricewaterhouseCoopers LLP was reappointed as auditor of Stantec for 2026, and the directors were authorized to fix the remuneration of the auditor. The detailed results of the vote on the appointment of auditor are as follows: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 For</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Votes Withheld</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 Withheld</w:t>
            </w:r>
          </w:p>
        </w:tc>
      </w:tr>
      <w:tr>
        <w:trPr>
          <w:trHeight w:val="264"/>
        </w:trPr>
        <w:tc>
          <w:tcPr>
            <w:tcW w:w="2840" w:type="dxa"/>
            <w:vAlign w:val="bottom"/>
            <w:tcBorders>
              <w:left w:val="single" w:sz="8" w:color="auto"/>
              <w:bottom w:val="single" w:sz="8" w:color="auto"/>
              <w:right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82,705,569</w:t>
            </w:r>
          </w:p>
        </w:tc>
        <w:tc>
          <w:tcPr>
            <w:tcW w:w="2800" w:type="dxa"/>
            <w:vAlign w:val="bottom"/>
            <w:tcBorders>
              <w:bottom w:val="single" w:sz="8" w:color="auto"/>
              <w:right w:val="single" w:sz="8" w:color="auto"/>
            </w:tcBorders>
          </w:tcPr>
          <w:p>
            <w:pPr>
              <w:jc w:val="right"/>
              <w:ind w:right="1072"/>
              <w:spacing w:after="0"/>
              <w:rPr>
                <w:sz w:val="20"/>
                <w:szCs w:val="20"/>
                <w:color w:val="auto"/>
              </w:rPr>
            </w:pPr>
            <w:r>
              <w:rPr>
                <w:rFonts w:ascii="Times New Roman" w:cs="Times New Roman" w:eastAsia="Times New Roman" w:hAnsi="Times New Roman"/>
                <w:sz w:val="22"/>
                <w:szCs w:val="22"/>
                <w:color w:val="auto"/>
              </w:rPr>
              <w:t>99.16</w:t>
            </w:r>
          </w:p>
        </w:tc>
        <w:tc>
          <w:tcPr>
            <w:tcW w:w="2820" w:type="dxa"/>
            <w:vAlign w:val="bottom"/>
            <w:tcBorders>
              <w:bottom w:val="single" w:sz="8" w:color="auto"/>
              <w:right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color w:val="auto"/>
              </w:rPr>
              <w:t>703,361</w:t>
            </w:r>
          </w:p>
        </w:tc>
        <w:tc>
          <w:tcPr>
            <w:tcW w:w="2780" w:type="dxa"/>
            <w:vAlign w:val="bottom"/>
            <w:tcBorders>
              <w:bottom w:val="single" w:sz="8" w:color="auto"/>
              <w:right w:val="single" w:sz="8" w:color="auto"/>
            </w:tcBorders>
          </w:tcPr>
          <w:p>
            <w:pPr>
              <w:jc w:val="right"/>
              <w:ind w:right="1112"/>
              <w:spacing w:after="0"/>
              <w:rPr>
                <w:sz w:val="20"/>
                <w:szCs w:val="20"/>
                <w:color w:val="auto"/>
              </w:rPr>
            </w:pPr>
            <w:r>
              <w:rPr>
                <w:rFonts w:ascii="Times New Roman" w:cs="Times New Roman" w:eastAsia="Times New Roman" w:hAnsi="Times New Roman"/>
                <w:sz w:val="22"/>
                <w:szCs w:val="22"/>
                <w:color w:val="auto"/>
              </w:rPr>
              <w:t>0.84</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Non-binding Advisory Vote on Executive Compensation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Shareholders accepted Stantec’s approach to executive compensation disclosed in the Management Information Circular dated March 19, 2026, and delivered in connection with the Meeting. The detailed results of the vote on Stantec’s approach to executive compensation are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 For</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 Against</w:t>
            </w:r>
          </w:p>
        </w:tc>
      </w:tr>
      <w:tr>
        <w:trPr>
          <w:trHeight w:val="264"/>
        </w:trPr>
        <w:tc>
          <w:tcPr>
            <w:tcW w:w="2840" w:type="dxa"/>
            <w:vAlign w:val="bottom"/>
            <w:tcBorders>
              <w:left w:val="single" w:sz="8" w:color="auto"/>
              <w:bottom w:val="single" w:sz="8" w:color="auto"/>
              <w:right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74,553,552</w:t>
            </w:r>
          </w:p>
        </w:tc>
        <w:tc>
          <w:tcPr>
            <w:tcW w:w="2800" w:type="dxa"/>
            <w:vAlign w:val="bottom"/>
            <w:tcBorders>
              <w:bottom w:val="single" w:sz="8" w:color="auto"/>
              <w:right w:val="single" w:sz="8" w:color="auto"/>
            </w:tcBorders>
          </w:tcPr>
          <w:p>
            <w:pPr>
              <w:jc w:val="right"/>
              <w:ind w:right="1072"/>
              <w:spacing w:after="0"/>
              <w:rPr>
                <w:sz w:val="20"/>
                <w:szCs w:val="20"/>
                <w:color w:val="auto"/>
              </w:rPr>
            </w:pPr>
            <w:r>
              <w:rPr>
                <w:rFonts w:ascii="Times New Roman" w:cs="Times New Roman" w:eastAsia="Times New Roman" w:hAnsi="Times New Roman"/>
                <w:sz w:val="22"/>
                <w:szCs w:val="22"/>
                <w:color w:val="auto"/>
              </w:rPr>
              <w:t>93.71</w:t>
            </w:r>
          </w:p>
        </w:tc>
        <w:tc>
          <w:tcPr>
            <w:tcW w:w="2820" w:type="dxa"/>
            <w:vAlign w:val="bottom"/>
            <w:tcBorders>
              <w:bottom w:val="single" w:sz="8" w:color="auto"/>
              <w:right w:val="single" w:sz="8" w:color="auto"/>
            </w:tcBorders>
          </w:tcPr>
          <w:p>
            <w:pPr>
              <w:jc w:val="right"/>
              <w:ind w:right="892"/>
              <w:spacing w:after="0"/>
              <w:rPr>
                <w:sz w:val="20"/>
                <w:szCs w:val="20"/>
                <w:color w:val="auto"/>
              </w:rPr>
            </w:pPr>
            <w:r>
              <w:rPr>
                <w:rFonts w:ascii="Times New Roman" w:cs="Times New Roman" w:eastAsia="Times New Roman" w:hAnsi="Times New Roman"/>
                <w:sz w:val="22"/>
                <w:szCs w:val="22"/>
                <w:color w:val="auto"/>
              </w:rPr>
              <w:t>5,006,184</w:t>
            </w:r>
          </w:p>
        </w:tc>
        <w:tc>
          <w:tcPr>
            <w:tcW w:w="2780" w:type="dxa"/>
            <w:vAlign w:val="bottom"/>
            <w:tcBorders>
              <w:bottom w:val="single" w:sz="8" w:color="auto"/>
              <w:right w:val="single" w:sz="8" w:color="auto"/>
            </w:tcBorders>
          </w:tcPr>
          <w:p>
            <w:pPr>
              <w:jc w:val="right"/>
              <w:ind w:right="1112"/>
              <w:spacing w:after="0"/>
              <w:rPr>
                <w:sz w:val="20"/>
                <w:szCs w:val="20"/>
                <w:color w:val="auto"/>
              </w:rPr>
            </w:pPr>
            <w:r>
              <w:rPr>
                <w:rFonts w:ascii="Times New Roman" w:cs="Times New Roman" w:eastAsia="Times New Roman" w:hAnsi="Times New Roman"/>
                <w:sz w:val="22"/>
                <w:szCs w:val="22"/>
                <w:color w:val="auto"/>
              </w:rPr>
              <w:t>6.29</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Stantec</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Stantec empowers clients, people, and communities to rise to the world’s greatest challenges at a time when the world faces more unprecedented concerns than ever before. </w:t>
      </w:r>
    </w:p>
    <w:p>
      <w:pPr>
        <w:spacing w:after="0" w:line="158"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We are a global leader in sustainable engineering, architecture, and environmental consulting. Our professionals deliver the expertise, technology, and innovation communities need to manage aging infrastructure, demographic and population changes, the energy transition, and more.</w:t>
      </w:r>
    </w:p>
    <w:p>
      <w:pPr>
        <w:spacing w:after="0" w:line="17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Today’s communities transcend geographic borders. At Stantec, community means everyone with an interest in the work that we do—from our project teams and industry colleagues to our clients and the people our work impacts. The diverse perspectives of our partners and interested parties drive us to think beyond what’s previously been done on critical issues like climate change, digital transformation, and future-proofing our cities and infrastructure.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21"/>
          <w:szCs w:val="21"/>
          <w:color w:val="auto"/>
        </w:rPr>
        <w:t>We are designers, engineers, scientists, project managers, and strategic advisors. We innovate at the intersection of community, creativity, and client relationships to advance communities everywhere, so that together we can redefine what’s possible.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Stantec trades on the TSX and the NYSE under the symbol STN.</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Colin Nekolaichuk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Stantec Media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 (437) 225-6384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colin.nekolaichuk@stantec.com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Jess Nieukerk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Stantec 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 (403) 569- 5389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ir@stantec.com</w:t>
      </w:r>
    </w:p>
    <w:sectPr>
      <w:pgSz w:w="11900" w:h="16838" w:orient="portrait"/>
      <w:cols w:equalWidth="0" w:num="2">
        <w:col w:w="4340" w:space="720"/>
        <w:col w:w="5059"/>
      </w:cols>
      <w:pgMar w:left="3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2026-05-14T16:14:48Z</dcterms:created>
  <dcterms:modified xsi:type="dcterms:W3CDTF">2026-05-14T16:14:48Z</dcterms:modified>
</cp:coreProperties>
</file>